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ATAS/530/2014 vom 22. April 2014</w:t>
      </w:r>
    </w:p>
    <w:p>
      <w:r>
        <w:t>GE Cour de justice, 2014-04-22, FR</w:t>
      </w:r>
    </w:p>
    <w:p>
      <w:r>
        <w:rPr>
          <w:b/>
        </w:rPr>
        <w:t xml:space="preserve">Quelle: </w:t>
      </w:r>
      <w:r>
        <w:t>https://mcp.opencaselaw.ch/entscheid/ge_gerichte_ATAS_530_2014</w:t>
      </w:r>
    </w:p>
    <w:p>
      <w:r>
        <w:t>FR: GE_GERICHTE ATAS/530/2014 du 22 avril 2014</w:t>
      </w:r>
    </w:p>
    <w:p>
      <w:r>
        <w:t>IT: GE_GERICHTE ATAS/530/2014 del 22 aprile 2014</w:t>
      </w:r>
    </w:p>
    <w:p>
      <w:pPr>
        <w:pStyle w:val="Heading2"/>
      </w:pPr>
      <w:r>
        <w:t>Erwägungen</w:t>
      </w:r>
    </w:p>
    <w:p>
      <w:r>
        <w:rPr>
          <w:b/>
        </w:rPr>
        <w:t>E. 20</w:t>
      </w:r>
    </w:p>
    <w:p>
      <w:r>
        <w:t>Reste à déterminer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pour autant qu'ils ne soient pas déjà pris en compte dans la mise en parallèle des revenus à comparer,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130 III 176 consid. 1.2, ATF 126 V 75 consid. 6, ATF 123 V 150 consid. 2 et les références; ATF non publié 8C_337/2009 du 18 février 2010, consid. 7.5).</w:t>
      </w:r>
    </w:p>
    <w:p>
      <w:r>
        <w:t>A/1994/2013 - 23/24 - La déduction doit être déterminée et motivée en analysant la situation individuelle. Il n’est pas admis de cumuler des déductions quantifiées séparément pour chaque facteur pris en compte, car en opérant de la sorte on ignore les interactions (ATF 126 V 75 ss). Selon la jurisprudence, une déduction sur le revenu d’invalide doit être accordée en particulier lorsque la capacité de travail de l’assuré est réduite même pour des travaux de manœuvre peu astreignants. Si en revanche des travaux peu ou moyennement pénibles sont raisonnablement exigibles, cela seul ne justifie pas une déduction même si la capacité de travail est réduite, car le salaire du barème pour le niveau d’exigences 4 comprend déjà de nombreuses activités peu ou moyennement pénibles (9C_187/2011). La jurisprudence admet une déduction sur le salaire du barème au titre du taux d’occupation pour des hommes qui, pour raisons de santé, ne peuvent plus travailler qu’à temps partiel (alors qu’ils travaillaient auparavant à plein temps). Par contre, le fait qu’une personne en principe capable de travailler à plein temps n’ait plus qu’une capacité de travail réduite en raison d’une maladie ne justifie pas une déduction allant plus loin que la prise en compte de la capacité de travail réduite et donc du rendement (8C_20/2012 consid. 3.2). La déduction au titre du travail à temps partiel s’ajoute à la déduction liée à l’atteinte à la santé, la déduction totale ne pouvant toutefois excéder 25 % (CIIAI, valable à partir du 1er janvier 2013, nos 3067.1 à 3067.4).</w:t>
      </w:r>
    </w:p>
    <w:p>
      <w:r>
        <w:rPr>
          <w:b/>
        </w:rPr>
        <w:t>E. 21</w:t>
      </w:r>
    </w:p>
    <w:p>
      <w:r>
        <w:t>L’assuré sollicite la prise en considération d’un taux d’abattement de 25%, afin qu’il soit tenu compte d’une baisse de rendement en vue de l’ensemble de ses pathologies, de ses nombreuses limitations fonctionnelles, ainsi que de son âge. La chambre de céans relève toutefois qu’un abattement supplémentaire ne pourrait être envisagé que pour l’âge, les limitations fonctionnelles ayant déjà été prises en considération dans le fait que la capacité de travail a été fixée à 90% et non pas à 100%. L’abattement ne saurait ainsi dépasser 10%.</w:t>
      </w:r>
    </w:p>
    <w:p>
      <w:r>
        <w:rPr>
          <w:b/>
        </w:rPr>
        <w:t>E. 22</w:t>
      </w:r>
    </w:p>
    <w:p>
      <w:r>
        <w:t>En tout état de cause, même si l’on retenait un revenu sans invalidité de CHF 48'720.- tenant compte d’une activité exercée à 75% seulement, d’une part, et d’un revenu d’invalide de CHF 49'032.- avec un taux d’abattement de 10%, d’autre part, le degré d’invalidité serait de 9,4% (48'720 – 44'129) x 100 : 48'720, et resterait insuffisant pour ouvrir le droit de l’assuré à des prestations AI. Aussi le recours ne peut-il être que rejeté.</w:t>
      </w:r>
    </w:p>
    <w:p>
      <w:r>
        <w:rPr>
          <w:b/>
        </w:rPr>
        <w:t>E. 23</w:t>
      </w:r>
    </w:p>
    <w:p>
      <w:r>
        <w:t>Bien que la procédure ne soit pas gratuite en matière d'assurance-invalidité (art. 69 al. 1bis LAI), il convient de renoncer à la perception d'un émolument, l'assuré étant au bénéfice de l'assistance juridique (art. 12 al. 1 du règlement sur les frais, émoluments et indemnités en procédure administrative du 30 juillet 1986; RS E 510. 03).</w:t>
      </w:r>
    </w:p>
    <w:p>
      <w:r>
        <w:t>A/1994/2013 - 24/24 -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