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ATAS/52/2026 vom 26. Januar 2026</w:t>
      </w:r>
    </w:p>
    <w:p>
      <w:r>
        <w:t>GE Cour de justice, 2026-01-26, FR</w:t>
      </w:r>
    </w:p>
    <w:p>
      <w:r>
        <w:rPr>
          <w:b/>
        </w:rPr>
        <w:t xml:space="preserve">Quelle: </w:t>
      </w:r>
      <w:r>
        <w:t>https://mcp.opencaselaw.ch/entscheid/ge_gerichte_ATAS_52_2026</w:t>
      </w:r>
    </w:p>
    <w:p>
      <w:r>
        <w:t>FR: GE_GERICHTE ATAS/52/2026 du 26 janvier 2026</w:t>
      </w:r>
    </w:p>
    <w:p>
      <w:r>
        <w:t>IT: GE_GERICHTE ATAS/52/2026 del 26 gennaio 2026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juin 1999 [RPCC-AVS/AI - J 4 25.03] pour les PCC) qui n’a pas été examinée par le SPC ; Que l’intimé ayant proposé que le recours lui soit transmis pour question de compétence en tant que demande de remise, proposition qui a été acceptée par le recourant, il convient d'entériner cet accord, qui met fin au litige, de renvoyer la cause à l’intimé pour instruction et décision sur la demande de remise, de constater que le recours est devenu sans objet, puis de rayer la cause du rôle ;</w:t>
      </w:r>
    </w:p>
    <w:p>
      <w:r>
        <w:t>A/1689/2025 - 4/4 - Que la procédure est gratuite (art. 89H al. 1 LPA et vu l’art. 61 let. fbis LPGA) ; Que, le recourant n’ayant pas sollicité l’octroi de dépens dans le cadre de cet accord intervenu entre les parties, il n’y a pas lieu de lui en accorder.</w:t>
      </w:r>
    </w:p>
    <w:p>
      <w:r>
        <w:t>PAR CES MOTIFS, LA CHAMBRE DES ASSURANCES SOCIALES Statuant d’accord entre les parties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