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ATAS/52/2025 vom 29. Januar 2025</w:t>
      </w:r>
    </w:p>
    <w:p>
      <w:r>
        <w:t>GE Cour de justice, 2025-01-29, FR</w:t>
      </w:r>
    </w:p>
    <w:p>
      <w:r>
        <w:rPr>
          <w:b/>
        </w:rPr>
        <w:t xml:space="preserve">Quelle: </w:t>
      </w:r>
      <w:r>
        <w:t>https://mcp.opencaselaw.ch/entscheid/ge_gerichte_ATAS_52_2025</w:t>
      </w:r>
    </w:p>
    <w:p>
      <w:r>
        <w:t>FR: GE_GERICHTE ATAS/52/2025 du 29 janvier 2025</w:t>
      </w:r>
    </w:p>
    <w:p>
      <w:r>
        <w:t>IT: GE_GERICHTE ATAS/52/2025 del 29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(art. 61 let. b LPGA, applicable par le renvoi de l'art. 1 al. 1 LAA) et le délai de trente jours (art. 60 LPGA ; art. 62 al. 1 let. a de la loi sur la procédure administrative du 12 septembre 1985 [LPA - E 5 10]) prévus par la loi, compte tenu de la suspension des délais pour la période du 15 juillet au 15 août inclusivement (art. 38 al. 4 let. b LPGA ; art. 89C let. b LPA) et du report au lundi 16 septembre 2024 de l'échéance du délai tombée sur le samedi 14 septembre 2024 (art. 38 al. 3 LPGA ; art. 17 al. 3 LPA), le recours est recevable.</w:t>
      </w:r>
    </w:p>
    <w:p>
      <w:r>
        <w:rPr>
          <w:b/>
        </w:rPr>
        <w:t>E. 2</w:t>
      </w:r>
    </w:p>
    <w:p>
      <w:r>
        <w:t>Le litige porte sur la capacité de travail de la recourante dans une activité adaptée à ses séquelles accidentelles, le montant de sa rente complémentaire de l'assurance-accidents, le taux de l'IPAI, ainsi que la prise en charge de son traitement médical après la fixation de sa rente.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Les prestations d'assurance sont également allouées en cas de rechutes et de séquelles tardives (art. 11 de l’ordonnance sur l'assurance-accidents, du 20 décembre 1982 - OLAA ; RS 832.202).</w:t>
      </w:r>
    </w:p>
    <w:p>
      <w:r>
        <w:t>A/3088/2024 - 15/28 -</w:t>
      </w:r>
    </w:p>
    <w:p>
      <w:r>
        <w:rPr>
          <w:b/>
        </w:rPr>
        <w:t>E. 3.2</w:t>
      </w:r>
    </w:p>
    <w:p>
      <w:r>
        <w:t>Si l’assuré est invalide (art. 8 LPGA) à 10% au moins par suite d’un accident, il a droit à une rente d’invalidité, pour autant que l’accident soit survenu avant l’âge de référence (art. 18 al. 1 LAA dans sa teneur en vigueur depuis le 1er janvier 2024).</w:t>
      </w:r>
    </w:p>
    <w:p>
      <w:r>
        <w:rPr>
          <w:b/>
        </w:rPr>
        <w:t>E. 3.2.1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3.2.2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3.2.3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w:t>
      </w:r>
    </w:p>
    <w:p>
      <w:r>
        <w:t>A/3088/2024 - 16/28 -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4.1</w:t>
      </w:r>
    </w:p>
    <w:p>
      <w:r>
        <w:t>En l'espèce, il n'est pas contesté que la stabilisation de l'état de santé de la recourante remonte au 30 août 2021. L'intimé, en s'appuyant sur le rapport d'expertise orthopédique du Dr J______ du 27 mai 2022, considère que la recourante, droitière, est, en dépit des séquelles accidentelles, apte à travailler dans une activité adaptée mono-manuelle gauche à 50%, dès le 1er septembre 2021. Par contre, celle-ci, en se basant sur le rapport d'expertise pluridisciplinaire du O______ du 13 février 2023, estime être incapable d'exercer la moindre activité lucrative.</w:t>
      </w:r>
    </w:p>
    <w:p>
      <w:r>
        <w:t>A/3088/2024 - 17/28 - Le rapport d'expertise orthopédique repose sur les pièces médicales du dossier et l'anamnèse (p. 2-10, et 17-19), les plaintes de la recourante (p. 11-12), l'examen clinique (p. 12-16), ainsi que l'évaluation circonstanciée du cas (p. 20-22). Sur le fond, le Dr J______ a relevé que la recourante présentait une ankylose douloureuse absolument massive de l'épaule droite, avec une amyotrophie extrêmement avancée de toute la ceinture scapulaire et brachiale droite, après chirurgie itérative prothétique et changement en deux temps pour infection. L'épaule droite, douloureuse, était totalement non fonctionnelle, tant activement que passivement. Il existait également une limitation de l'extension du coude droit, d'environ 25°, en elle-même stricto-sensu peu gênante, mais l’amyotrophie associée à l'atteinte des fléchisseurs du coude rendaient cette articulation moyennement fonctionnelle. Le segment antébrachial, la main et les doigts à droite étaient fonctionnels, sans atteinte articulaire ou musculaire. Il existait cependant des douleurs et une très discrète faiblesse sur le territoire cubital, séquellaire de la neuropathie cubitale antérieure à l'accident du 29 septembre 2008 (p. 20). Il a conclu qu'il s'agissait d'une atteinte globale de tout le membre supérieur droit, le rendant très peu fonctionnel, autre que pour l'utilisation de la main pour quelques mouvements d'aide lorsque l'avant-bras était en appui, coude fléchi vers 90°. La mobilité des doigts longs et du pouce était strictement normale. La main droite était eutrophique. Le bras gauche présentait en revanche une mobilité et une fonction normale, avec une bonne musculature manuelle (p. 21). L'expert en a inféré que la capacité de travail dans l'activité habituelle d'assistante en soins et santé communautaire était définitivement nulle. Dans une activité adaptée, mono-manuelle gauche, il a expliqué qu'une pleine capacité de travail était impossible en raison de la gêne fonctionnelle et des douleurs, mais qu'une capacité de travail à 50% était justifiée au vu de l'absence d'atteinte des membres inférieurs, du rachis et du membre supérieur gauche (p. 22). L'appréciation de la capacité de travail de la recourante par les experts du O______, mandatés par l'OAI, ne l'emporte pas sur celle de l'expert orthopédique, désigné par l'intimé. En effet, les premiers ont indiqué que la recourante présentait des limitations dans toutes les activités de la vie quotidienne (p. 64). Pourtant, celle-ci avait déclaré effectuer de petits travaux ménagers à domicile (p. 56-57). Elle mettait par exemple le linge et la vaisselle dans la machine (p. 70), tirait les draps (p. 71), faisait de petites courses (p. 71), préparait le petit-déjeuner de la famille (p. 57), ainsi que le souper (p. 71). Ceci étant, les experts du O______ ont reconnu à la recourante une totale incapacité de travail dans une activité adaptée, y compris pour les seules suites de l'accident, en raison de la fonction misérable du membre supérieur droit, bras dominant (p. 65). Alors qu'ils avaient connaissance du rapport d'expertise orthopédique du 27 mai 2022 (p. 38), ils n'ont pas expliqué les motifs pour lesquels celle-ci, en dépit de son atteinte au bras dominant droit, serait, au vu des activités qu'elle affirmait encore pouvoir réaliser, inapte à exercer une activité lucrative purement mono-manuelle gauche à 50%.</w:t>
      </w:r>
    </w:p>
    <w:p>
      <w:r>
        <w:t>A/3088/2024 - 18/28 - Dans son appréciation du 31 juillet 2023, le médecin-conseil de l'intimé a souligné qu'on ne pouvait effectuer certaines activités durant la journée-type tout en alléguant présenter une capacité de travail nulle dans toute activité. Force est de constater que l'évaluation des experts du O______ ne permet pas de douter du bien-fondé des conclusions du Dr J______. Les griefs de la recourante à l'encontre du rapport d'expertise orthopédique du 27 mai 2022 ne sont pas non plus de nature à le discréditer. En effet, le fait que le Dr J______ a indiqué que la « vraie capacité de travail résiduelle » de la recourante était de l'ordre de 20% à 40% est sans conséquence, dans la mesure où il a mentionné que cette valeur tenait compte des atteintes sans rapport avec l'accident (p. 22). De toute manière, même à retenir la valeur médiane de 30% ([20 + 40] / 2 ; cf. arrêt du Tribunal fédéral 9C_228/2007 du 24 septembre 2007 consid. 3), cela n'aboutit pas à une totale incapacité de gain, comme le voudrait la recourante, et n'a pas, comme on le verra plus loin, d'incidence ni sur le montant de la rente complémentaire de l'assurance-accidents ni sur la prise en charge du traitement médical après la fixation de la rente. De même, retenir une capacité de travail de 20% sur le plan neurologique, si tant est que l'atteinte sous cet angle soit liée à l'accident, ne conduit pas à une totale incapacité de gain. Ensuite, contrairement à ce prétend la recourante, le Dr J______ n'a pas ignoré les douleurs qu'elle éprouve. Au contraire, il les a prises en considération dans l'estimation de la capacité de travail résiduelle. En tant que la recouante reproche à cet expert de ne pas avoir pris l'état de son épaule droite « à sa juste mesure », elle émet sa propre appréciation (subjective). Le fait que le SMR a suivi les conclusions de l'expertise pluridisciplinaire du O______ ne suffit pas pour que l'intimé en fasse de même. Le SMR n'a pas discuté les conclusions différentes du Dr J______. Contrairement à ce que fait valoir la recourante, le Dr C______, médecin-conseil de l'intimé, est un spécialiste de la discipline médicale ici pertinente (orthopédie). Dans son appréciation du 31 juillet 2023, il a exposé les raisons pour lesquelles l'expertise du O______ devait être écartée sur le plan accidentel. Le médecin- conseil constatait en particulier que les conclusions du O______ étaient sommaires, faute de discussion - à l'inverse de celles du Dr J______. Cela suffit déjà pour ne pas suivre l'avis du O______ en matière d'assurance-accidents. Les questions que le médecin-conseil s'est ensuite posées au sujet de la douleur ressentie par la recourante, respectivement des exercices qu'elle effectue en piscine ne sont en soi pas déterminantes, dès lors que la première a, comme on l'a vu, été prise en compte par le Dr J______ dans l'estimation de la capacité de travail résiduelle, et la seconde n'a pas été un critère d'appréciation. Quant à la fatigue chronique, la recourante ne présente de toute manière pas de ralentissement psychomoteur, de troubles de l'attention ou de la concentration</w:t>
      </w:r>
    </w:p>
    <w:p>
      <w:r>
        <w:t>A/3088/2024 - 19/28 - (rapport d'expertise psychiatrique du O______ p. 72), et ses troubles psychiques n'ont pas d'effet sur sa capacité de travail, qui est demeurée entière dans toute activité (p. 75, 79-80). En conséquence, il y a lieu d'admettre que la recourante dispose d'une capacité de travail de 50% dans une activité adaptée mono-manuelle gauche, dès le 1er septembre 2021, étant rappelé que selon la jurisprudence, pour des personnes considérées comme mono-manuelles et limitées à des activités légères, il existe suffisamment de possibilités d'emploi dans un marché équilibré du travail (arrêt du Tribunal fédéral 8C_772/2020 du 9 juillet 2021 consid. 5.6).</w:t>
      </w:r>
    </w:p>
    <w:p>
      <w:r>
        <w:rPr>
          <w:b/>
        </w:rPr>
        <w:t>E. 4.2</w:t>
      </w:r>
    </w:p>
    <w:p>
      <w:r>
        <w:t>Il convient désormais de se prononcer sur le montant de le rente complémentaire de l'assurance-accidents dû à la recourante.</w:t>
      </w:r>
    </w:p>
    <w:p>
      <w:r>
        <w:rPr>
          <w:b/>
        </w:rPr>
        <w:t>E. 4.2.1</w:t>
      </w:r>
    </w:p>
    <w:p>
      <w:r>
        <w:t>Selon l'art. 20 al. 1 LAA, la rente d’invalidité s’élève à 80% du gain assuré, en cas d’invalidité totale ; si l’invalidité n’est que partielle, la rente est diminuée en conséquence. Selon l'art. 20 al. 2 LAA, si l’assuré a droit à une rente de l’assurance-invalidité ou à une rente de l’assurance-vieillesse et survivants, une rente complémentaire lui est allouée ; celle-ci correspond, en dérogation à l’art. 69 LPGA, à la différence entre 90% du gain assuré et la rente de l’assurance-invalidité ou de l’assurance-vieillesse et survivants, mais au plus au montant prévu pour l’invalidité totale ou partielle. La rente complémentaire est fixée lorsqu’elle est en concours pour la première fois avec une rente de l’assurance-invalidité ou de l’assurance-vieillesse et survivants. Elle est adaptée lorsque la rente de l’assurance-vieillesse et survivants est modifiée à la suite d’un ajournement ou d’un versement anticipé, ou lorsque les parts de rente de l’assurance-invalidité ou de l’assurance-vieillesse et survivants accordées pour les membres de la famille sont modifiées. La rente complémentaire remplace la rente « normale » d'invalidité de la LAA. La limite de la surindemnisation correspond à 90% du gain assuré (Jean-Maurice FRÉSARD / Margit MOSER-SZELESS, L’assurance-accidents obligatoire [avec des aspects de l’assurance militaire], in Schweizerisches Bundesverwaltungsrecht Soziale Sicherheit, 2016, n. 266). La réglementation sur la surindemnisation en matière de rentes complémentaires d'invalidité de l'assurance-accidents est réglée à l'art. 20 al. 2 LAA. En tant que règle spéciale de coordination, cette disposition s'applique à l'exclusion de toute autre règle générale sur la surindemnisation (arrêt du Tribunal fédéral 8C_166/2016 du 27 janvier 2017 consid. 5.2). Selon l'art. 31 al. 1 OLAA, si une rente de l’AI ou une rente de même nature servie par une assurance sociale étrangère est nouvellement versée par suite d’un accident, les rentes pour enfants de l’AI et les rentes de même nature d’assurances sociales étrangères sont aussi entièrement prises en compte dans le calcul de la</w:t>
      </w:r>
    </w:p>
    <w:p>
      <w:r>
        <w:t>A/3088/2024 - 20/28 - rente complémentaire. Le cours de change applicable au moment où les rentes sont en concours pour la première fois est déterminant. Selon l'art. 31 al. 2 OLAA, lors de la fixation de la base de calcul au sens de l’art. 20 al. 2 de la loi, le gain assuré est majoré d’un montant égal au pourcentage de l’allocation de renchérissement visée à l’art. 34 de la loi applicable au moment où les rentes concourent pour la première fois. La prise en compte du renchérissement n'a lieu que lorsque les rentes sont en concours pour la première fois et non pas chaque fois que la rente complémentaire doit être recalculée ultérieurement (RAMA 1997 p. 59). La réglementation légale part du principe que les rentes AI et AVS sont en principe entièrement prises en compte (ATF 130 V 39 consid. 4.1). Toutefois, selon l'art. 20 al. 3 LAA, le Conseil fédéral édicte des prescriptions détaillées, notamment sur le calcul des rentes complémentaires dans les cas spéciaux. Ainsi, l'art. 32 al. 1 OLAA prévoit que, si une rente de l’AI couvre également une invalidité non assurée selon la LAA, seule est prise en compte pour le calcul de la rente complémentaire la part de la rente de l’AI qui correspond à l’activité obligatoirement assurée. C’est le cas si la rente de l’assurance-invalidité est calculée selon la méthode mixte et tient compte, en partie, de l’invalidité de l’assuré dans ses travaux habituels, notamment ménagers. Par exemple, lorsque l’assuré, qui travaillait à temps partiel (85%) avant l’accident reçoit une rente entière d’invalidité, le montant de celle-ci n’est prise en compte qu’à raison de 85%. On applique donc le principe dit de la concordance des droits ou de l’identité de la matière. C’est aussi le cas pour les personnes qui exerçaient à côté de leur activité salariée (assurée) une activité indépendante non assurée : on procède alors à un calcul proportionnel en fonction des deux types d’activité, bien qu’il ne soit pas toujours aisé de distinguer la part de la rente de l’assurance-invalidité qui indemnise la perte de l’activité non soumise à la LAA (FRÉSARD / MOSER-SZELESS, op cit., n. 276). Selon l'art. 32 al. 2 OLAA, si, par suite d’un accident, une rente de l’AI est augmentée ou succède à une rente de survivant de l’AVS, seule la différence entre la rente allouée avant l’accident et la nouvelle prestation est prise en compte pour le calcul de la rente complémentaire. Dans les cas prévus à l’art. 24 al. 4 OLAA, la rente de l’AI est entièrement prise en compte. Selon l'art. 33 al. 2 let. a OLAA, les rentes complémentaires sont rectifiées lorsque des rentes pour enfants de l’AVS ou de l’AI ou des rentes de même nature servies par des assurances sociales étrangères sont supprimées ou viennent s’y ajouter.</w:t>
      </w:r>
    </w:p>
    <w:p>
      <w:r>
        <w:t>A/3088/2024 - 21/28 -</w:t>
      </w:r>
    </w:p>
    <w:p>
      <w:r>
        <w:rPr>
          <w:b/>
        </w:rPr>
        <w:t>E. 4.2.2</w:t>
      </w:r>
    </w:p>
    <w:p>
      <w:r>
        <w:t>En l'occurrence, l'intimé a fixé le montant de la rente complémentaire de l'assurance-accidents au sens de l'art. 20 al. 2 LAA en prenant en compte l'intégralité de la rente de l'assurance-invalidité dans le calcul. Cette disposition s'applique à l'exclusion de toute autre règle générale sur la surindemnisation. Dans la mesure où aucune rente de l'assurance-invalidité n'était versée à la recourante avant la survenance de l'accident, l'art. 32 al. 2 OLAA ne s'applique pas. Quoi qu'en dise la recourante, l'art. 32 al. 1 OLAA (qui exclut la prise en compte de la totalité de la rente de l'assurance-invalidité dans le calcul de la surindemnisation) n'est pas non plus applicable. En effet, la recourante n'exerçait pas une activité indépendante non assurée. La rente de l'assurance-invalidité n'a pas non plus été calculée selon la méthode mixte. Cette prestation ne tient donc pas compte de l'invalidité de la recourante dans ses travaux habituels, que l'assurance-accidents n'a aucune obligation de couvrir. Dans ces circonstances, c'est à juste titre que la rente de l'assurance-invalidité a été entièrement portée en compte dans le calcul de la surindemnisation. Par surabondance, si l'OAI avait appliqué le statut mixte, à raison de 80% pour la part professionnelle (la recourante travaillait à 80% avant la rechute) et de 20% pour la part ménagère, et que celle-ci avait été mise au bénéfice d'une rente entière d'invalidité, le montant de cette rente n'aurait été prise en compte qu'à raison de 80% dans le calcul de la surindemnisation, et non pas de 39%, comme le prétend la recourante. La recourante ne conteste pas que le gain assuré s'élève à CHF 31'387.-, dont le 90% représente CHF 28'248.30.-. Ce dernier montant constitue la limite de surindemnisation, étant précisé qu'au 1er septembre 2021, au moment où les deux rentes (AI et LAA) concouraient pour la première fois, le gain assuré n'avait pas à être adapté au renchérissement, celui-ci étant de 0% (art. 1 al. 2 de l'ordonnance</w:t>
      </w:r>
    </w:p>
    <w:p>
      <w:r>
        <w:rPr>
          <w:b/>
        </w:rPr>
        <w:t>E. 4.3</w:t>
      </w:r>
    </w:p>
    <w:p>
      <w:r>
        <w:t>Reste à déterminer si la recourante peut prétendre une IPAI supérieure au taux de 30% retenu par l'intimé.</w:t>
      </w:r>
    </w:p>
    <w:p>
      <w:r>
        <w:rPr>
          <w:b/>
        </w:rPr>
        <w:t>E. 4.3.1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1re phrase) ; elle ne doit pas excéder le montant maximum du gain annuel assuré à l'époque de l'accident et elle est échelonnée selon la gravité de l'atteinte à l'intégrité (al. 1, 2e phrase).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w:t>
      </w:r>
    </w:p>
    <w:p>
      <w:r>
        <w:t>A/3088/2024 - 23/28 -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 Selon l’art. 36 OLAA, édicté conformément à la délégation de compétence de l’art. 25 al. 2 LAA, une atteinte à l'intégrité est réputée durable lorsqu'il est prévisible qu'elle subsistera avec au moins la même gravité pendant toute la vie (al. 1, 1re phrase) ; elle est réputée importante lorsque l'intégrité physique ou mentale subit, indépendamment de la diminution de la capacité de gain, une altération évidente ou grave (al. 1, 2e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1re phrase).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w:t>
      </w:r>
    </w:p>
    <w:p>
      <w:r>
        <w:t>A/3088/2024 - 24/28 -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Depuis le 1er janvier 2016, le montant maximum du gain assuré s’élève à CHF 148'200.- par an et à CHF 406.- par jour (art. 22 al. 1 de l’ordonnance sur l'assurance-accidents du 20 décembre 1982 [OLAA - RS 832.202]). Entre le 1er janvier 2008 et le 31 décembre 2015, le montant maximum du gain assuré s’élevait à CHF 126'000.- par an et CHF 346.- par jour (art. 22 al. 1 aOLAA ; RO 2007 3667). En cas de rechute ou de séquelles tardives, la base de calcul déterminante pour le calcul de l'indemnité pour atteinte à l'intégrité due est le montant maximum du gain annuel assuré au jour de l'accident (ATF 127 V 456 consid. 4).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t>A/3088/2024 - 25/28 -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w:t>
      </w:r>
    </w:p>
    <w:p>
      <w:r>
        <w:rPr>
          <w:b/>
        </w:rPr>
        <w:t>E. 4.3.2</w:t>
      </w:r>
    </w:p>
    <w:p>
      <w:r>
        <w:t>En l'espèce, dans son rapport d'expertise du 27 mai 2022, le Dr J______ a expliqué que la recourante présentait une endoprothèse avec un mauvais résultat, correspondant à une atteinte à l'intégrité de 25% selon la table n°5 de la SUVA relative au taux d'atteinte à l'intégrité résultant d'arthroses (p. 22). Dans son rapport du 12 février 2020, le Dr B______ parvenait à cette même conclusion, en se référant à cette table (dossier intimé p. 1549-1550). Le Dr J______ ajoutait que la recourante présentait également une atteinte du coude droit, sous forme d'un flessum d'environ 25°, lié à la rétraction des parties molles dues à la chirurgie itérative du bras après la mise en place de la plaque d'ostéosynthèse allant jusqu'au niveau de la palette humérale (p. 22). Dans la mesure où il s'agissait d'une limitation fonctionnelle, non pas d'une arthrose, il a appliqué la table n°1 de la SUVA relative à l'atteinte à l'intégrité résultant de troubles fonctionnels des membres supérieurs. Il a indiqué que cette table prévoyait pour un coude mobile entre 0°-30°-90° un taux d'atteinte à l'intégrité de 10%, et pour un coude mobile entre 0°-90°-135° le même taux. Il a exposé que la mobilité du coude de la recourante était à 135°-25°-0°, soit une mobilité infiniment supérieure, ne justifiant pas un taux de 10%, mais de 5%, la moitié (p. 23). Le Dr J______ a en définitive évalué l'ensemble de l'atteinte à l'intégrité de l'épaule et du coude droits à 30% (25% + 5% ; p. 23). En tant que la recourante fait valoir que son handicap fonctionnel du membre supérieur droit aurait dû être apprécié globalement selon la table n°1 de la SUVA et que son taux de l'IPAI devrait être de 40%, elle se limite à substituer sa propre évaluation à celle du Dr J______. Or, aucun avis médical au dossier ne permet de mettre en doute l'appréciation, motivée, dudit médecin. Quant à l'atteinte esthétique en raison du status cicatriciel de l'épaule droite, le Dr J______ a considéré que l'épaule n'était pas une zone socialement découverte comme l'étaient les mains et le visage dans notre société. Cette atteinte cicatricielle et son préjudice esthétique étaient inclus dans le taux de 25% lié à l'endoprothèse avec mauvais résultat (p. 23). Il est vrai que l'arrêt U. 143/02 du 25 octobre 2002 (consid. 4.2), dans lequel le Tribunal fédéral a admis qu'une indemnité de 10% était appropriée pour des cicatrices étendues sur une partie du corps qui n'était au moins pas régulièrement couverte, concerne une atteinte à l'intégrité sur le plan esthétique consécutive à une brûlure sur la peau, ce qui n'est pas le cas de la recourante.</w:t>
      </w:r>
    </w:p>
    <w:p>
      <w:r>
        <w:t>A/3088/2024 - 26/28 - Ceci dit, les cicatrices ne sont pas mentionnées en tant que telles dans les barèmes des indemnités pour atteinte à l'intégrité à l'annexe 3 de l'OLAA. En revanche, en cas de très grave défiguration, l'atteinte à l'intégrité est fixée à 50%. La table 18 de l'indemnisation des atteintes à l'intégrité établie par la SUVA traite des atteintes à l'intégrité en cas de lésions de la peau. Outre la très grave défiguration, figurent diverses descriptions d'atteinte à l'intégrité en cas de dermatose ainsi que des cicatrices en cas de brûlures. En fonction de leur gravité et de leur étendue, l'atteinte à l'intégrité se situe entre 5 et 50 %, les cicatrices du visage et des mains constituant des atteintes nettement plus graves que des parties couvertes. Il convient aussi de tenir compte du handicap fonctionnel causé par la cicatrice, en raison de rétractations, de la vulnérabilité accrue de la peau ainsi que de la diminution durable de la sensibilité cutanée (ATAS/132/2006 du 25 janvier 2006 consid. 5). La photographie produite par la recourante démontre que la cicatrice qu'elle présente du coude jusqu'à l'épaule droite est une atteinte importante à l'intégrité du point de vue esthétique et qu'elle est également durable, ce qui justifie de se référer par analogie à la table 18 de la SUVA. Il s'agit d'une cicatrice bien visible, sur une partie du corps qui n'est pas régulièrement couverte au printemps ou en été, période durant laquelle il est fréquent que dans notre société les hommes et les femmes portent des T-shirts, débardeurs et maillots de bains, étant relevé que la table 18 prévoit une indemnisation en cas de grave dermatose des pieds, soit une partie du corps qui est couverte par les chaussettes en hiver. Ainsi, contrairement aux dires du Dr J______, le fait que la cicatrice de la recourante se situe sur une partie du corps qui est dénudée seulement durant une période de l'année n'exclut pas une indemnisation. Dans son rapport du 28 février 2022 (dossier intimé p. 1259), le Prof. I______ a retenu un taux de l'IPAI de 30% pour la perte de la mobilité de la fonction de l'épaule droite incluant un préjudice esthétique. Ce dernier a donc été évalué à 5% (30% - 25% correspondant à l'endoprothèse de l'épaule avec mauvais résultat). Il s'agit d'une atteinte à l'intégrité de nature différente, de sorte qu'il se justifie d'additionner l'atteinte orthopédique d'une part et celle dermatologique d'autre part. Par conséquent, la recourante a droit à un complément d'IPAI de 5%. Aussi n'est-t-il pas nécessaire de mettre en œuvre une expertise, sollicitée par la recourante.</w:t>
      </w:r>
    </w:p>
    <w:p>
      <w:r>
        <w:rPr>
          <w:b/>
        </w:rPr>
        <w:t>E. 4.4</w:t>
      </w:r>
    </w:p>
    <w:p>
      <w:r>
        <w:t>Reste encore à examiner le traitement médical dont peut bénéficier la recourante après la fixation de sa rente.</w:t>
      </w:r>
    </w:p>
    <w:p>
      <w:r>
        <w:rPr>
          <w:b/>
        </w:rPr>
        <w:t>E. 4.4.1</w:t>
      </w:r>
    </w:p>
    <w:p>
      <w:r>
        <w:t>Selon l'art. 21 al. 1 LAA, lorsque la rente a été fixée, les prestations pour soins et remboursement de frais (art. 10 à 13 LAA) sont accordées à son bénéficiaire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w:t>
      </w:r>
    </w:p>
    <w:p>
      <w:r>
        <w:t>A/3088/2024 - 27/28 -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w:t>
      </w:r>
    </w:p>
    <w:p>
      <w:r>
        <w:rPr>
          <w:b/>
        </w:rPr>
        <w:t>E. 4.4.2</w:t>
      </w:r>
    </w:p>
    <w:p>
      <w:r>
        <w:t>Contrairement à ce que fait valoir la recourante, le cas ne doit pas être examiné sous l'angle de la let. d de l'art. 21 al. 1 LAA, puisque cette disposition vise les bénéficiaires de rente totalement invalides (ATF 140 V 130 consid. 2.3), soit une éventualité qui n'est pas réalisée en l'occurrence. 5. Au vu de ce qui précède, le recours sera très partiellement admis, et la décision litigieuse réformée en ce sens que la recourante a droit à un complément d'IPAI d'un taux de 5%. La recourante, représentée par un avocat, obtenant très partiellement gain de cause, une indemnité lui sera accordée à titre de participation à ses frais et dépens (art. 61 let. g LPGA ; art. 6 du règlement sur les frais, émoluments et indemnités en matière administrative du 30 juillet 1986 [RFPA - E 5 10.03] ; art. 89H al. 3 LPA), même si elle n'a pas conclu à l'octroi de dépens. L'indemnité est en effet octroyée d'office, l'art. 89H al. 3 LPA - à teneur duquel une indemnité est allouée au recourant qui obtient gain de cause - n'exigeant pas de requête de l'assuré (Stéphane GRODECKI / Romain JORDAN, Code annoté de procédure administrative genevoise, 2017, n. 1098). L'indemnité sera fixée en l'espèce à CHF 1'000.-. Pour le surplus, la procédure est gratuite (art. 61 let. fbis LPGA a contrario).</w:t>
      </w:r>
    </w:p>
    <w:p>
      <w:r>
        <w:t>A/3088/2024 - 28/28 - PAR CES MOTIFS, LA CHAMBRE DES ASSURANCES SOCIALES : Statuant À la forme :</w:t>
      </w:r>
    </w:p>
    <w:p>
      <w:r>
        <w:rPr>
          <w:b/>
        </w:rPr>
        <w:t>E. 09</w:t>
      </w:r>
    </w:p>
    <w:p>
      <w:r>
        <w:t>sur les allocations de renchérissement aux rentiers de l'assurance-accidents obligatoire du 29 octobre 2008, dans son état en vigueur du 1er janvier 2009 au 31 décembre 2022 ici applicable, en lien avec les art. 31 al. 2 OLAA et 34 LAA). Dès le 1er septembre 2021, la recourante bénéficiait d'une rente AI de CHF 2'084.- par mois assortie d'une rente d'enfant d'invalide de CHF 834.- par mois, soit un montant annuel total de CHF 35'016.- ([2'084 × 12] + [834 × 12]). Celui-ci étant plus élevé que la limite de surindemnisation (CHF 28'248.30), c'est à juste titre que l'intimé n'a pas alloué une rente de l'assurance-accidents à la recourante, quel que soit son taux d'invalidité (cf. arrêt du Tribunal fédéral 8C_166/2016 du 27 janvier 2017 consid. 4). À compter du 1er avril 2022, il y a lieu de recalculer la rente complémentaire, dès lors que la rente d'enfant d'invalide a été supprimé.</w:t>
      </w:r>
    </w:p>
    <w:p>
      <w:r>
        <w:t>A/3088/2024 - 22/28 - Comme le relève l'intimé, même dans l'hypothèse où le taux d'invalidité de la recourante était supérieur au taux de 61% admis par l'intimé, cela ne changerait pas l'issue du litige. En effet, à partir du 1er avril 2022, la rente AI de la recourante annualisée se chiffrait à CHF 25'008.- (2'084 × 12). La rente complémentaire s'élevait donc à CHF 3'240.30 par année (28'248.30 - 25'008) ou à CHF 270.025 par mois (3'240.30 / 12), que l'intimé a arrondi à CHF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