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ATAS/52/2018 vom 23. Januar 2018</w:t>
      </w:r>
    </w:p>
    <w:p>
      <w:r>
        <w:t>GE Cour de justice, 2018-01-23, FR</w:t>
      </w:r>
    </w:p>
    <w:p>
      <w:r>
        <w:rPr>
          <w:b/>
        </w:rPr>
        <w:t xml:space="preserve">Quelle: </w:t>
      </w:r>
      <w:r>
        <w:t>https://mcp.opencaselaw.ch/entscheid/ge_gerichte_ATAS_52_2018</w:t>
      </w:r>
    </w:p>
    <w:p>
      <w:r>
        <w:t>FR: GE_GERICHTE ATAS/52/2018 du 23 janvier 2018</w:t>
      </w:r>
    </w:p>
    <w:p>
      <w:r>
        <w:t>IT: GE_GERICHTE ATAS/52/2018 del 23 gennaio 2018</w:t>
      </w:r>
    </w:p>
    <w:p>
      <w:pPr>
        <w:pStyle w:val="Heading2"/>
      </w:pPr>
      <w:r>
        <w:t>Erwägungen</w:t>
      </w:r>
    </w:p>
    <w:p>
      <w:r>
        <w:rPr>
          <w:b/>
        </w:rPr>
        <w:t>E. 10</w:t>
      </w:r>
    </w:p>
    <w:p>
      <w:r>
        <w:t>Par courrier du 27 juillet 2017, le recourant a précisé qu’en raison de son atteinte, il ne pouvait pas acheter des plats prêts à l’emploi. Il a également relevé que c’était sa femme de ménage qui faisait le grand nettoyage. Il convenait par conséquent de prendre en considération les empêchements effectifs, étant précisé qu’il ne pouvait pas forcément garder cette aide avec trois-quarts de rente. S’agissant du poste « emplettes et courses diverses », il précisait que sa fille était mère de quatre enfants dont trois étaient encore très jeunes. Elle ne pouvait donc l’aider en tout temps. Quant à son amie, elle vivait en France et elle n’était ainsi pas constamment à sa disposition. Partant, il fallait tenir compte de l’empêchement effectif, soumis à fluctuations. Enfin, concernant le poste « divers », il convenait de se référer au certificat du Dr C______ du 1er mai 2017 et retenir un empêchement de 50%.</w:t>
      </w:r>
    </w:p>
    <w:p>
      <w:r>
        <w:rPr>
          <w:b/>
        </w:rPr>
        <w:t>E. 11</w:t>
      </w:r>
    </w:p>
    <w:p>
      <w:r>
        <w:t>Pour sa part, l’intimé s’est prononcé le 21 septembre 2017 et a considéré que le fait que le recourant fasse appel à une femme de ménage n’était pas suffisant pour modifier les conclusions du rapport d’enquête sur le ménage. S’agissant du certificat du Dr C______ du 1er mai 2017, il ne contenait aucun élément autre qu’une appréciation en pourcents, sans la moindre constatation médicale objective et précise, ce qui était insuffisant pour remettre en question la valeur probante du rapport d’enquête précité.</w:t>
      </w:r>
    </w:p>
    <w:p>
      <w:r>
        <w:rPr>
          <w:b/>
        </w:rPr>
        <w:t>E. 12</w:t>
      </w:r>
    </w:p>
    <w:p>
      <w:r>
        <w:t>Sur ce, la cause a été gardée à juger.</w:t>
      </w:r>
    </w:p>
    <w:p>
      <w:r>
        <w:t>A/1621/2017 - 6/13 -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a/aa.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Par ailleurs, à la suite de l’arrêt n° 7186/09 de la Cour européenne des droits de l’homme (CrEDH) dans l’affaire Di Trizio contre Suisse, le Conseil fédéral a décidé de modifier le règlement sur l’assurance-invalidité (RAI) concernant l’évaluation du taux d’invalidité des assurés exerçant une activité lucrative à temps partiel (méthode mixte). La modification des art. 27 et 27bis RAI est ainsi entrée en vigueur le 1er janvier 2018. a/bb.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b. En l'espèce, au vu des faits pertinents du point de vue matériel et de la date de la décision querellée, le droit aux prestations doit être examiné au regard de l'’ancienne teneur des art. 27 et 27bis RAI. En tant que de besoin, l’OAI procèdera en temps utile à une révision du droit à la rente du recourant. 4. Le délai de recours est de 30 jours (art. 60 al. 1 LPGA). Interjeté dans la forme et le délai prévus par la loi, le recours est recevable, en vertu des art. 56ss LPGA.</w:t>
      </w:r>
    </w:p>
    <w:p>
      <w:r>
        <w:t>A/1621/2017 - 7/13 - 5. Le litige porte sur le droit du recourant à une rente entière d’invalidité, singulièrement sur l’importance des empêchements dans les activités usuelles dans le ménage.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Lorsqu'il convient d'évaluer l'invalidité d'un assuré d'après la méthode mixte - comme c’est le cas en l’espèce, l'invalidité des assurés qui n'exercent que partiellement une activité lucrative est, pour cette part, évaluée selon la méthode ordinaire de comparaison des revenus (art. 28a al. 3 LAI en corrélation avec l’art.</w:t>
      </w:r>
    </w:p>
    <w:p>
      <w:r>
        <w:rPr>
          <w:b/>
        </w:rPr>
        <w:t>E. 16</w:t>
      </w:r>
    </w:p>
    <w:p>
      <w:r>
        <w:t>LPGA); on pourra alors apprécier l'invalidité globale d'après le temps consacré à</w:t>
      </w:r>
    </w:p>
    <w:p>
      <w:r>
        <w:t>A/1621/2017 - 8/13 -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n'existe pas de principe selon lequel l'évaluation médicale de la capacité de travail l'emporte d'une manière générale sur les résultats de l'enquête ménagère. Une telle</w:t>
      </w:r>
    </w:p>
    <w:p>
      <w:r>
        <w:t>A/1621/2017 - 9/13 -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10. a. Pour pouvoir calculer le degré d’invalidité, l’administration (ou le juge, s’il y a eu un recours) a besoin de documents qu’un médecin, éventuellement d’autres</w:t>
      </w:r>
    </w:p>
    <w:p>
      <w:r>
        <w:t>A/1621/2017 - 10/13 -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11.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w:t>
      </w:r>
    </w:p>
    <w:p>
      <w:r>
        <w:t>A/1621/2017 - 11/13 -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13. Est litigieuse en l’espèce la question des taux d’empêchement retenus par l’enquêtrice de l’OAI. En effet, se fondant sur le rapport du Dr C______, le recourant conclut à ce qu’un empêchement de 50% soit pris en considération pour les rubriques « alimentation », « entretien du logement », « emplettes et courses diverses » et « divers ». a. À titre liminaire, il y a lui de relever que le recourant a diminué son taux d’activité à 80% dans un premier temps, puis à 60% dès le 1er avril 2014 pour des motifs étrangers à son état de santé. C’est donc à juste titre que l’intimé a appliqué la méthode mixte pour déterminer le degré d’invalidité. b. La chambre de céans constate tout d’abord que le rapport d’enquête, élaboré par une infirmière qualifiée en connaissance de la situation médicale et locale, tient compte des indications du recourant, qui sont relatées en détails et dont on peut considérer – faute d’indice contraire – qu’elles sont fidèlement retranscrites. Par ailleurs, ses conclusions quant aux empêchements dans les différents champs d’activité sont dûment motivées : le recourant est actif entre les siestes quotidiennes imposées par sa maladie et en fractionnant ses tâches dans la journée et en les répartissant sur la semaine, il se débrouille assez bien avec peu d’aide. Cela n’est d’ailleurs pas contesté par le recourant. Partant, ce document paraît convaincant.</w:t>
      </w:r>
    </w:p>
    <w:p>
      <w:r>
        <w:t>A/1621/2017 - 12/13 - c/aa. Se référant au certificat du Dr C______ du 1er mai 2017, le recourant conteste l’évaluation des empêchements, qu’il estime à 50%. Force est de constater que ce certificat, qui ne contient ni anamnèse, ni description des plaintes du recourant et encore moins des conclusions motivées quant aux empêchements, ne répond à aucun des critères jurisprudentiels. Ce document ne permet dès lors pas à lui seul de remettre en question les empêchements retenus par l’enquêtrice. c/bb. Concernant les empêchements retenus, le recourant n’allègue pas que des limitations supplémentaires seraient induites par son état de santé. S’agissant des postes « alimentation » (pondéré à 40%) et « entretien du logement » (pondéré à 20%), le recourant ne prétend pas ne pas être en mesure d’effectuer les tâches qu’il a confiées à sa femme de ménage. Le fait qu’il ne puisse plus forcément s’acquitter des salaires de cette aide avec trois-quarts de rente ne constitue pas un motif pour réévaluer à la hausse les limitations dans ces domaines. Quant au poste « alimentation » (pondéré à 40%), le recourant est encore en mesure de cuisiner, à tout le moins de temps à autres. Ainsi, en vertu de son obligation de diminuer le dommage, il peut être exigé de lui que lorsqu’il cuisine, il prépare des repas pour plusieurs jours et les conserve, au besoin, dans son congélateur. Par ailleurs, comme cela a été relevé par l’OAI, la préparation des repas peut également être allégée par l'achat de produits alimentaires prêts à l'emploi, le recourant ne produisant aucun document médical attestant que cela n’est pas compatible avec son état de santé. S’agissant de la rubrique « courses et emplettes diverses » (pondéré à 10%), le recourant a admis être en mesure de s’occuper lui-même de ses courses, sauf en cas de crises. Il n’allègue toutefois pas que de telles situations se présenteraient plus fréquemment que 10% du temps. Cela étant et dans tous les cas, il pourrait alléger cette activité en faisant livrer les courses à son domicile. Enfin, concernant le poste « divers » (pondéré à 15%), le recourant se réfère uniquement au certificat du Dr C______, auquel aucune valeur probante n’a été reconnue. Dans ces conditions, il n’y a pas de motif pour remettre en cause le taux d’empêchement total de 11% retenu par l’enquêtrice. Le degré d’invalidité ainsi obtenu est bien de 64%. Partant, c’est à juste titre que l’intimé a octroyé trois quarts de rente au recourant. 14. Le recours sera donc rejeté. Étant donné que depuis le 1er juillet 2006, la procédure n'est plus gratuite (art. 69 al. 1bis LAI), il y a lieu de condamner le recourant au paiement d'un émolument de CHF 200.-.</w:t>
      </w:r>
    </w:p>
    <w:p>
      <w:r>
        <w:t>A/1621/2017 - 13/13 -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