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ATAS/529/2021 vom 1. Juni 2021</w:t>
      </w:r>
    </w:p>
    <w:p>
      <w:r>
        <w:t>GE Cour de justice, 2021-06-01, FR</w:t>
      </w:r>
    </w:p>
    <w:p>
      <w:r>
        <w:rPr>
          <w:b/>
        </w:rPr>
        <w:t xml:space="preserve">Quelle: </w:t>
      </w:r>
      <w:r>
        <w:t>https://mcp.opencaselaw.ch/entscheid/ge_gerichte_ATAS_529_2021</w:t>
      </w:r>
    </w:p>
    <w:p>
      <w:r>
        <w:t>FR: GE_GERICHTE ATAS/529/2021 du 1 juin 2021</w:t>
      </w:r>
    </w:p>
    <w:p>
      <w:r>
        <w:t>IT: GE_GERICHTE ATAS/529/2021 del 1 giugno 2021</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LPGA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t>A/872/2020 - 14/32 -</w:t>
      </w:r>
    </w:p>
    <w:p>
      <w:r>
        <w:rPr>
          <w:b/>
        </w:rPr>
        <w:t>E. 4</w:t>
      </w:r>
    </w:p>
    <w:p>
      <w:r>
        <w:t>Le 1er janvier 2017 est entrée en vigueur la modification du 25 septembre 2015 de la LAA. Dans la mesure où l'accident est survenu avant cette date, soit le 22 octobre 2015,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Le délai de recours est de trente jours (art. 56 LPGA; art. 62 al. 1 de la de loi sur la procédure administrative du 12 septembre 1985 [LPA - E 5 10]). Interjeté dans la forme (art. 61 let. b LPGA) et le délai prévus par la loi, le recours formé le 9 mars 2020 contre la décision sur opposition du 5 février 2020, notifiée le lendemain, est recevable, compte tenu du report au lundi 9 mars 2020 de l’échéance du délai de recours tombée sur le samedi 7 mars 2020 (art. 38 al. 3 LPGA).</w:t>
      </w:r>
    </w:p>
    <w:p>
      <w:r>
        <w:rPr>
          <w:b/>
        </w:rPr>
        <w:t>E. 6</w:t>
      </w:r>
    </w:p>
    <w:p>
      <w:r>
        <w:t>Le litige porte sur le droit du recourant à une rente de l’assurance-accidents supérieure au taux de 25% et à une indemnité pour atteinte à l’intégrité supérieure au taux de 25 % retenus par l’intimée.</w:t>
      </w:r>
    </w:p>
    <w:p>
      <w:r>
        <w:rPr>
          <w:b/>
        </w:rPr>
        <w:t>E. 7</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8</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w:t>
      </w:r>
    </w:p>
    <w:p>
      <w:r>
        <w:t>A/872/2020 - 15/32 - de 10 % prévu par l'art. 18 al. 1 LAA (cf. ATF 134 V 109 consid. 4.1;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 p. 388, arrêt du Tribunal fédéral des assurances U.244/04 du 20 mai 2005 consid. 3.1; arrêt du Tribunal fédéral 8C_179/2014 du 16 mars 2015 consid. 4.1).</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A/872/2020 - 16/32 -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w:t>
      </w:r>
    </w:p>
    <w:p>
      <w:r>
        <w:t>A/872/2020 - 17/32 - médecins traitants. Encore faut-il démontrer l'existence d'éléments pouvant jeter un doute sur la valeur probante du rapport du médecin concerné et, par conséquent, la violation du principe mentionné (arrêt du Tribunal fédéral 9C_973/2011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9C_833/2007 du 4 juillet 2008, in Plädoyer 2009/1 p. 70; arrêt du Tribunal fédéral des assurances I.35/03 du</w:t>
      </w:r>
    </w:p>
    <w:p>
      <w:r>
        <w:t>A/872/2020 - 18/32 - 24 octobre 2003 consid. 4.3 et les références, in Plädoyer 2004/3 p. 64; arrêt du Tribunal fédéral 9C_512/2013 du 16 janvier 2014 consid. 5.2.1).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l’occurrence, l’état de santé du recourant est stabilisé, malgré la prise de comprimés antidouleurs et la prescription de physiothérapie (arrêt du Tribunal fédéral des assurances U.244/04 du 20 mai 2005 consid. 3.1), depuis le 25 septembre 2017, date de l’examen final effectué par le Dr D______, médecin d’arrondissement de l’intimée, qui a observé que le résultat clinique était mauvais avec une mobilité de l’épaule gauche très limitée, sans qu’une amélioration ne puisse en être attendue. Le Dr G______, expert mandaté par l’OAI, est du même avis, ainsi que cela ressort de son rapport d’expertise du 18 juin 2019, auquel la chambre des assurances sociales a attribué un caractère probant dans le cadre de la procédure A/1190/2020 opposant le recourant à l’OAI. b. Il n’est pas contesté par l’intimée ni contestable que le recourant ne peut plus exercer son activité habituelle de maçon en raison de son atteinte à l’épaule gauche consécutive à l’accident survenu le 22 octobre 2015. En ce qui concerne la capacité de travail du recourant dans une activité adaptée, l’intimée, s’appuyant sur le rapport d’examen final du Dr D______ du 29 septembre 2017, ainsi que sur l’appréciation de ce médecin du 23 juillet 2018, l’évalue à 100 % dans une activité essentiellement mono-manuelle droite, sans baisse de rendement. Le recourant, se référant aux rapports de ses médecins traitants, à celui des ÉPI du 23 juillet 2018, ainsi qu’à celui du Dr G______ du 18 juin 2019, conteste cette position. Or, les conclusions du Dr D______, prises à l’issue d’un examen clinique du recourant, dont les plaintes ont été prises en compte, complété par l’étude du dossier, y compris les radiographies, et donc en connaissance de ses limitations, emportent la conviction. En conséquence, contrairement à ce que fait valoir le recourant, le simple fait que ce spécialiste soit le médecin d’arrondissement de l’intimée ne permet pas d’écarter son appréciation. Les conclusions du Dr G______, selon lesquelles le recourant dispose d’une capacité de travail résiduelle de 70 %, ne contredisent pas celles du Dr D______,</w:t>
      </w:r>
    </w:p>
    <w:p>
      <w:r>
        <w:t>A/872/2020 - 19/32 - contrairement à ce que pense le recourant, dès lors que le premier a inclus dans son analyse les répercussions des limitations fonctionnelles liées aux lombalgies et gonalgies, soit des atteintes non accidentelles, dont l’intimée n’a pas à répondre. Il est vrai que, d’après les observations des Drs D______ et G______ ainsi que des ÉPI, le recourant ne peut pas travailler avec le bras gauche, ou seulement avec l’avant-bras gauche reposant sur un support en utilisant la main gauche, étant précisé que la main gauche, en tant que telle, est dans la limite de la norme selon l’expert, et qu’il n’existe aucune limitation au niveau de la mobilité des doigts à gauche selon le médecin d’arrondissement. Cela étant, le membre supérieur droit (dominant) ne présente aucune restriction, comme l’ont mis en évidence les Drs D______ et G______ ainsi que les ÉPI. Pour cette raison, le Dr G______ partage l’opinion du Dr D______ selon laquelle une capacité de travail totale dans une activité strictement adaptée (mono-manuelle droite) subsiste (cf. son courrier du 5 mars 2021). Ainsi, à l’inverse de ce que soutient le recourant, le fait que le médecin d’arrondissement ait constaté une mobilité très limitée de l’épaule gauche n’exclut pas une pleine capacité de travail dans une activité adaptée mono-manuelle droite. C’est le lieu de rappeler qu’il existe un large éventail d’activités simples et répétitives (qui correspondent à un emploi léger) adaptées de type mono-manuel sur le marché équilibré du travail (cf. arrêt du Tribunal fédéral 8C_849/2017 du 5 juin 2018 consid. 3.2). Par ailleurs, certes, le stage de réadaptation professionnel, durant lequel le recourant percevait des indemnités journalières de l’OAI, était de nature à influencer le degré d’invalidité déterminant pour l’octroi d’une rente d’invalidité de l’assurance- accidents (cf. arrêt du Tribunal fédéral des assurances U.90/01 du 21 octobre 2002 consid. 2.3), raison pour laquelle l’intimée a attendu la fin de cette mesure pour statuer sur le droit du recourant à une rente d’invalidité LAA (art. 19 al. 1, 1ère phrase, LAA). Cela étant, les conclusions des ÉPI, qui estiment que le recourant n’est pas en mesure d’exercer une activité lucrative dans le circuit économique ordinaire, ne sauraient l’emporter sur celles du Dr D______, bien que ce dernier n’ait pas pris connaissance du rapport des ÉPI. En effet, après avoir examiné, entre autres, les capacités physiques du recourant, les ÉPI ont retenu le métier d’opérateur dans l’industrie légère, où celui-ci pourrait effectuer des tâches répétitives, très simples, sans responsabilité et sans technicité particulière. Or, quand bien même les ÉPI savaient que le recourant ne peut pratiquer que des activités quasi exclusivement mono-manuelles, ils l’ont placé en stage d’observation dans un secteur (le montage de la contre came sur stylos) nécessitant l’usage des deux bras, et n’étant donc pas adapté à son état de santé. Dans son courrier du 23 juillet 2018, le Dr D______ a du reste souligné que son appréciation antérieure demeure valable tant et aussi longtemps que le recourant exerce une activité mono-manuelle droite, ce qui n’a précisément pas été le cas durant le stage de réadaptation professionnelle. En outre, l’absence de polyvalence du recourant, compte tenu du fait qu’il a œuvré depuis trente ans dans le métier de</w:t>
      </w:r>
    </w:p>
    <w:p>
      <w:r>
        <w:t>A/872/2020 - 20/32 - maçon et qu’il n’a pas pu réaliser toutes les opérations de montage durant son stage – étant rappelé, inadapté −, n’est pas déterminant, dès lors que, selon la jurisprudence précitée, il existe un large éventail d’activités simples et répétitives (qui correspondent à un emploi léger) adaptées de type mono-manuel sur le marché équilibré du travail, ne nécessitant aucune formation spécifique (cf. arrêts du Tribunal fédéral 9C_789/2016 du 5 avril 2017 consid. 5.2; 9C_279/2008 du</w:t>
      </w:r>
    </w:p>
    <w:p>
      <w:r>
        <w:rPr>
          <w:b/>
        </w:rPr>
        <w:t>E. 16</w:t>
      </w:r>
    </w:p>
    <w:p>
      <w:r>
        <w:t>décembre 2008 consid. 4). Outre cela, contrairement aux allégations du recourant, le Dr D______ ne s’est pas écarté, sans justification, des conclusions du Dr E______, puisque ce dernier, dans ses rapports et certificats d’arrêt de travail, a pris en compte d’autres atteintes d’origine maladive. Or, le recourant ne conteste pas que seule l’affection de son épaule gauche est d’origine accidentelle, à la charge de l’intimée. De surcroît, dans son rapport du 23 janvier 2019, le Dr E______, lui-même, préconisait une expertise orthopédique, laquelle a été confiée par l’OAI au Dr G______, dont les conclusions rejoignent celles du Dr D______ s’agissant des seules séquelles de l’accident. Enfin, contrairement à ce que prétend le recourant, dans son rapport du 9 octobre 2018, le Dr F______ n’a pas recommandé un séjour à la CRR pour déterminer ses limitations fonctionnelles et sa capacité de travail, mais uniquement pour que celui- là bénéfice de thérapies physiques ainsi que pour une évaluation de l’efficacité des antalgiques, après avoir retenu, à titre de diagnostic, une omalgie et impotence fonctionnelle persistante de l’épaule gauche évoquant une capsulite rétractile, soit une pathologie déjà connue (voir le rapport de la CRR du 22 juin 2016 résumé par le Dr D______). c. Au vu de ce qui précède, la mise sur pied d’une expertise judiciaire orthopédique, sollicitée par le recourant, est, par appréciation anticipée des preuves (ATF 122 II 464 consid. 4a), inutile, de sorte que la chambre des assurances sociales n’y donnera pas suite. Il sera, à toutes fins utiles, précisé que le recourant a eu la faculté d’exercer son droit d’être entendu lors de la mise en œuvre de l’expertise orthopédique du 11 juin 2019, puisque l’OAI lui avait accordé un délai pour qu’il pose ses éventuelles questions complémentaires au Dr G______ (cf. communication de l’OAI du 15 février 2019). Dans le cadre de la présente procédure, c’est essentiellement pour préciser un point de l’expertise ordonnée par l’OAI au sujet de la capacité de travail résiduelle du recourant que, par pli du 2 mars 2021, la chambre de céans a invité le Dr G______ à lui indiquer s’il était d’accord avec l’avis du Dr D______. À cet égard, le recourant a pu exercer son droit d’être entendu (ATF 141 V 557 consid. 3.1), notamment en se déterminant par écrit, y compris le 30 avril 2021, soit après réception du courrier du 5 mars 2021 du Dr G______. d. En définitive, la chambre des assurances sociales admet, avec le Dr D______, que le recourant est apte à exercer à temps plein une activité mono-manuelle, uniquement de la main droite.</w:t>
      </w:r>
    </w:p>
    <w:p>
      <w:r>
        <w:t>A/872/2020 - 21/32 - 12. a. Il convient à présent d'examiner le degré d'invalidité présenté par le recourant. b.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c.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d.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135 V 297 consid. 5.2; ATF 129 V 472 consid. 4.2.1).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w:t>
      </w:r>
    </w:p>
    <w:p>
      <w:r>
        <w:t>A/872/2020 - 22/32 -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et l’ESS 2016, le 26 octobre 2018 (étant précisé que le tableau T1_tirage_skill_level a été corrigé le 8 novembre 2018).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étant toutefois précisé que le Tribunal fédéral a laissé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w:t>
      </w:r>
    </w:p>
    <w:p>
      <w:r>
        <w:rPr>
          <w:b/>
        </w:rPr>
        <w:t>E. 20</w:t>
      </w:r>
    </w:p>
    <w:p>
      <w:r>
        <w:t>décembre 1982 (OLAA - RS 832.202; cf. arrêts du Tribunal fédéral 8C_661/2018 du 28 octobre 2019 consid. 3.3.4.2. et 8C_122/2019 du 10 septembre 2019 consid. 4.3.2 et les références citées).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(ATF 146 V 16 consid. 4.2; 137 V 71 consid. 5.1), notamment en retenant des critères inappropriés, en ne tenant pas compte de circonstances pertinentes, en ne procédant pas à un examen complet des circonstances pertinentes ou en n'usant pas de critères objectifs (ATF 135 III 179 consid. 2.1; 130 III 176 consid. 1.2). Contrairement au pouvoir d'examen du Tribunal fédéral, celui de l'autorité judiciaire de première instance n'est pas limité dans ce contexte à la violation du droit (y compris l'excès ou l'abus du pouvoir d'appréciation), mais s'étend</w:t>
      </w:r>
    </w:p>
    <w:p>
      <w:r>
        <w:t>A/872/2020 - 23/32 -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juge des assurances sociales ne peut pas, sans motif pertinent, substituer sa propre appréciation à celle de l'administration; il doit s'appuyer sur des circonstances de nature à faire apparaître sa propre appréciation comme la mieux appropriée (ATF 137 V 71 précité consid. 5.2 et l'arrêt cité). f. L'invalidité est une notion économique et non médicale, où sont prises en compte les répercussions de l'atteinte à la santé sur la capacité de gain (arrêt du Tribunal fédéral des assurances I.15/06 du 21 décembre 2006 consid. 2.2). La notion d'invalidité, définie à l'art. 8 LPGA, est en principe identique en matière d'assurance-accidents, d'assurance militaire et d'assurance-invalidité (ATF 126 V 288 consid. 2d ; arrêt du Tribunal fédéral des assurances I.853/05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(arrêt du Tribunal fédéral des assurances U.406/01 du 28 novembre 2002 consid. 1.2). 13. a. En l’espèce, dans la mesure où l’OAI a inclus dans son appréciation du cas des atteintes non imputables à l’accident, c’est à juste titre que l’intimée ne s’est pas référée au degré d’invalidité établi par l’OAI, et a procédé à sa propre évaluation. b. Pour la comparaison des revenus, il convient de se placer au moment de la naissance du droit à la rente de l’assurance-accidents (arrêt du Tribunal fédéral des assurances U.311/02 du 4 février 2003 consid. 4.1), soit en l’occurrence en juillet 2018 lorsque la mesure de réadaptation professionnelle de l’assurance-invalidité a</w:t>
      </w:r>
    </w:p>
    <w:p>
      <w:r>
        <w:t>A/872/2020 - 24/32 - pris fin (art. 19 al. 1, 1ère phrase, LAA ; cf. arrêt du Tribunal fédéral 8C_66/2020 du 14 avril 2020 consid. 3.2). Partant, la comparaison des revenus déterminants doit se faire au regard de l’année 2018, comme l’a fait à juste titre l’intimée. c/aa. S’agissant du revenu annuel sans invalidité que le recourant aurait pu obtenir en 2018 dans son ancienne activité de maçon s’il n’avait pas été atteint dans sa santé, l’intimée s’est basée sur les données communiquées par l’ancien employeur dans la déclaration d’accident du 6 novembre 2015, ainsi que dans les courriers des 28 février 2017 et 15 février 2018, aux termes desquels le revenu annuel du recourant s’élèverait en 2018 à CHF 72'051.-, en intégrant au salaire mensuel de base, le montant de CHF 458.80 à titre du treizième salaire, ainsi qu’un montant de CHF 43.75 à titre d’autres allocations. Or, ce dernier montant ne figure pas dans les décomptes de salaire. Du reste, on constate que le revenu de CHF 72'051.- est inférieur à celui de l’année précédente (2014, soit CHF 74'260.-), alors que le salaire mensuel de base avait augmenté en 2015 (passant de CHF 5'477.- à CHF 5'502.-). En particulier, le salaire brut réalisé par le recourant entre janvier et octobre 2015 – avant l’atteinte à la santé − se chiffrait à CHF 57'601.85 (soit CHF 5'552.65 en janvier, CHF 5'686.90 en février, CHF 6'394.35 en mars, CHF 5'647.05 en avril, CHF 5'757.25 en mai, CHF 5'836.55 en juin, CHF 5'550.55 en juillet, CHF 5'861.05 en août, CHF 5'653.95 en septembre et CHF 5'661.55 en octobre), montant qui est supérieur à celui touché en 2014 durant la même période, lequel s’élevait à CHF 57'433.85 (soit CHF 5'580.60.- en janvier, CHF 5'139.25 en février, CHF 6'988.75 en mars, CHF 5'621.40 en avril, CHF 5'639.95 en mai, CHF 5'914.35 en juin, CHF 5'660.10 en juillet, CHF 5'594.20 en août, CHF 5'640.75 en septembre et CHF 5'654.50 en octobre, d’après les décomptes de salaire au dossier). C’est dire que le recourant aurait à tout le moins perçu, sans atteinte à la santé, le revenu annuel de l’année précédant l’accident, soit CHF 74'260.-. Partant, le revenu de CHF 72'051.-, pris en compte par l’intimée, ne reflète pas la situation économique concrète du recourant avant la survenance de son accident. c/bb. Cela étant dit, on ne saurait se fonder sur le revenu annuel ressortant du certificat de salaire de l’année 2015 (soit CHF 72'323.-), dès lors que celui-ci, obtenu postérieurement à l’atteinte à la santé, est influencé par celle-ci. En effet, en novembre et décembre 2015, le revenu brut, qui comprenait également les indemnités journalières versées par l’assureur-accidents, s’élevait à CHF 4'259.55, respectivement à CHF 9'998.05, contre CHF 5'635.85, respectivement CHF 11'190.50 en 2014. c/cc. On ne saurait non plus, comme le voudrait le recourant (et comme l’a fait l’OAI), procéder à la moyenne des revenus réalisés entre 2010 et 2014 selon les données résultant du compte individuel AVS. Selon la jurisprudence, on se base, pour fixer le revenu sans invalidité, sur le revenu moyen réalisé pendant une assez longue période lorsque le revenu est soumis à des</w:t>
      </w:r>
    </w:p>
    <w:p>
      <w:r>
        <w:t>A/872/2020 - 25/32 - fluctuations très importantes à relativement court terme (RCC 1985 p. 474). Si l'assuré a effectué des heures supplémentaires en nombre très variable et en l'absence d'invalidité, il ne faut alors pas se fonder pour le calcul du revenu sans invalidité sur le revenu de l'année précédente, mais sur une valeur moyenne calculée sur plusieurs années (arrêt du Tribunal fédéral 9C_979/2012 du 26 mars 2013 consid. 4). Or, en l’occurrence, on ne saurait considérer que le revenu du recourant a fortement fluctué entre 2010 et 2014. Son compte individuel AVS fait état d’un revenu de CHF 71'296.- en 2010, de CHF 72'470.- en 2011, de CHF 69'449.- en 2012, de CHF 74'062.- en 2013 et de CHF 72'221.- en 2014. Or, il n’est pas exclu que la variation – légère − du revenu entre 2010 et 2011 soit consécutive à une augmentation du salaire de base. La variation de salaire entre 2013 et 2014 n’est pas importante, et la légère baisse en 2012 paraît isolée. Par ailleurs, le certificat de salaire de l’année 2014 mentionne un revenu brut de CHF 74'260.-, et non de CHF 72'221.-. Il apparaît donc que le revenu inscrit au compte individuel AVS pour 2014 est inexact, de sorte qu’on ne peut se fier à ces données. En outre, dans la mesure où le recourant a effectué des heures supplémentaires uniquement aux mois de mars 2014 et mars 2015, on ne saurait admettre qu’il a accompli un nombre très variable d’heures supplémentaires pour le compte de son employeur qui justifierait de procéder à une moyenne des salaires sur la période courant de 2010 à 2014. c/dd. Dans ces circonstances, il convient de se référer au revenu annuel de l’année précédant l’accident, soit CHF 74'260.-, montant que le recourant aurait à tout le moins obtenu en 2015 sans atteinte à la santé, comme on l’a dit plus haut. c/ee. Contrairement à ce que fait valoir l’intimée, il y a lieu d’indexer ce montant à 2018 – année déterminante pour procéder à la détermination du degré d’invalidité −, dès lors que selon le tableau T1.1.10, publié par l’OFS ; https://www.bfs.admin.ch/bfs/fr/home/statistiques/travail-remuneration/salaires- revenus-cout-travail/evolution-salaires.assetdetail.16904716.html), les salaires nominaux des hommes dans le domaine de la construction ont augmenté, et ce comme suit: + 0,4 % en 2016 ; + 0,3 % en 2017 et + 0,5 % en 2018 (ligne 41-43 de ce tableau ; cf. arrêt du Tribunal fédéral 9C_821/2019 du 14 octobre 2020 consid. 4.4.2). À cet égard, il y a lieu d’écarter les courriers de l’ancien employeur des 28 février 2017 et 15 février 2018, selon lesquels la rémunération du recourant n’aurait pas évolué entre 2015 et 2018, puisque, comme on l’a relevé plus haut, ces documents contiennent des erreurs. Le revenu sans invalidité s’élève donc à CHF 75'154.61 (74'260.- + 297.04 en 2016 = 74'557.04 + 223.67 en 2017 = 74'780.71 + 373.90 en 2018 = 75'154.61). d. Quant au revenu avec invalidité, il y a lieu de se fonder sur les salaires résultant de l'ESS, dès lors que le recourant n'a pas repris d'activité lucrative. En ce qui concerne l'année de référence des tableaux statistiques à appliquer, l'ESS 2018 n'était pas encore publiée (elle l’a été le 21 avril 2020) au moment</w:t>
      </w:r>
    </w:p>
    <w:p>
      <w:r>
        <w:t>A/872/2020 - 26/32 - déterminant de la décision du 5 février 2020. Aussi convient-il de se référer à la version 2016, publiée le 26 octobre 2018 (cf. arrêt du Tribunal fédéral 8C_655/2016 du 4 août 2017 consid. 6.3).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(arrêt du Tribunal fédéral 9C_279/2008 du 16 décembre 2008 consid. 4) si ce n'est une phase initiale d'adaptation et d'apprentissage (arrêt du Tribunal fédéral 8C_766/2017, 8C_773/2017 du 30 juillet 2018 consid. 8.6 et la référence). 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 15 novembre 2012 consid. 4.2). D'après l'ESS 2016, le revenu statistique tiré d'activités physiques ou manuelles simples s'élève à CHF 5'340.- par mois (tableau TA1_tirage_skill_level, niveau 1, total, homme, part au 13ème salaire comprise) ou à CHF 64'080.- par année (5'340 × 12). Ce salaire hypothétique se base toutefois sur une durée hebdomadaire de travail de 40 heures, inférieure à la moyenne usuelle dans les entreprises. Il convient dès lors de l'ajuster à la durée hebdomadaire normale de travail en 2016 (arrêt du Tribunal fédéral 9C_603/2015 du 25 avril 2016 consid. 8.1), laquelle est de 41,7 heures (tableau « Durée normale du travail dans les entreprises selon la division économique » de l'Office fédéral de la statistique), ce qui porte le salaire annuel à CHF 66'803.40 (64'080 × 41,7 / 40). Après adaptation de ce montant à l’évolution des salaires nominaux pour les hommes en 2018 − année déterminante pour la comparaison des revenus − (+ 0,4 % en 2017 ; + 0,5 % en 2018 selon la ligne « total » du tableau T1.1.10 publié par l’OFS), le revenu avec invalidité s’élève à CHF 67'405.96 (66'803.40 + 267.21 en 2017 = 67'070.61 + 335.35 en 2018 = 67'405.96) pour un plein temps. e. En procédant à l’abattement de 20 % retenu par l’intimée afin de tenir compte des limitations fonctionnelles du recourant, taux qui n’est pas contesté par ce dernier, le revenu d’invalide s’élèverait à CHF 53'924.77 (67'405.96 - 13'481.19 ; 13'481.19 = 67'405.96 × 20 / 100). Comparé au revenu sans invalidité de CHF 75'154.61, il en résulterait un degré d'invalidité de 28,25 % ([75'154.61- 53'924.77] / 75'154.61× 100), arrondi à 28 % (ATF 130 V 121 consid. 3.2), taux supérieur à celui arrêté par l’intimée (25 %). f. Cela étant, la chambre de céans constate que l’abattement de 20 % sur le revenu d’invalide est excessif.</w:t>
      </w:r>
    </w:p>
    <w:p>
      <w:r>
        <w:t>A/872/2020 - 27/32 - En effet, à titre d’exemples, dans un arrêt 9C_522/2011 du 8 février 2012 (rendu en matière d’assurance-invalidité), le Tribunal fédéral a jugé que si des facteurs tels que l'âge (47 ans au jour de la décision litigieuse) ou la nationalité (suisse) n'étaient pas de nature à influer sur les perspectives salariales de l'assurée, dont la capacité de travail était entière dans une activité adaptée, il n'en était pas de même avec les limitations fonctionnelles dont celle-ci était affectée (atteinte au poignet droit excluant les travaux de force avec le membre supérieur droit, le port de charges supérieures à 1 kg avec la seule main droite, les activités manuelles répétitives ou nécessitant des mouvements du poignet et les activités de stabilisation du membre supérieur droit dans des activités bimanuelles; atteinte à l'épaule gauche excluant tout travail au-delà d'un plan horizontal, les mouvements d'abduction/adduction répétés, le port de charges supérieures à 5 kg avec le membre supérieur gauche et de 6 kg en bimanuel; atteinte au rachis lombaire, excluant les mouvements répétés de flexion/extension, les attitudes en porte-à-faux, le port de charges supérieurs à 6 kg, les positions statiques au-delà de trente minutes et assises au-delà d'une heure). La somme de ces limitations, en tant qu'elle réduisait à sa portion la plus congrue l'emploi des membres supérieurs, singulièrement de la main droite (dominante), constituait selon le Tribunal fédéral un désavantage certain par rapport à des travailleurs capables de supporter un effort prolongé et d'utiliser sans entrave leurs deux mains, de sorte qu'une déduction globale de 20 % (au moins) s'imposait (consid. 3.2 et 3.5). Une unilatéralité de fait ou une restriction de la main dominante peut justifier un abattement compris entre 20 % et 25 % (arrêts du Tribunal fédéral 9C_363/2017 du</w:t>
      </w:r>
    </w:p>
    <w:p>
      <w:r>
        <w:rPr>
          <w:b/>
        </w:rPr>
        <w:t>E. 22</w:t>
      </w:r>
    </w:p>
    <w:p>
      <w:r>
        <w:t>juin 2018 consid. 4.3 et 9C_396/2014 du 15 avril 2015 consid. 5.2). Dans un arrêt 8C_471/2017 du 16 avril 2018, qui concernait un assuré, âgé de 58 ans au moment de la décision litigieuse, ayant travaillé exclusivement dans le secteur de la restauration au cours des trente-cinq années précédant son accident, le plus souvent comme barman, ayant subi une fracture de la 2e phalange du 4e doigt de la main gauche (non dominante), nécessitant une réduction ouverte et une ostéosynthèse par deux vis de compression, avec une évolution compliquée par une algoneurodystrophie, et entraînant des limitations dans toutes les activités nécessitant les mouvements répétitifs ainsi que l’habilité manuelle fine et les efforts de la main gauche, mais n’empêchant pas l’assuré de disposer d’une capacité de travail totale dans une activité purement mono-manuelle droite, le Tribunal fédéral a estimé qu’un abattement de 10 % tenait suffisamment compte des limitations présentées par l’assuré et a annulé le jugement cantonal qui avait porté le taux d’abattement à 15 % (consid. 5.3). En l’espèce, au regard en particulier de cette dernière casuistique, similaire au présent cas en termes de capacité de travail résiduelle et de limitations fonctionnelles, l’abattement de 20 % retenu par l’intimée apparaît trop élevé, dans la mesure où le recourant ne présente pas une restriction de la main dominante. En aucun cas, une déduction supérieure à un taux de l’ordre de 15 % ne se justifie −</w:t>
      </w:r>
    </w:p>
    <w:p>
      <w:r>
        <w:t>A/872/2020 - 28/32 - étant relevé que celui-ci dispose d’une capacité de travail entière dans une activité adaptée, et non pas d’un taux d’occupation réduit. Outre cela, pour autant que le critère de l’âge soit déterminant en assurance- accidents, l’âge du recourant (né le 6 avril 1964), soit 54 ans au moment déterminant du droit à la rente le 1er juillet 2018, qui lui laisse onze ans d'activité jusqu'à la survenance de l'âge de la retraite (soit 65 ans révolus pour les hommes [art. 21 al. 1 let. a de la loi fédérale sur l’assurance-vieillesse et survivants, du 20 décembre 1946 [LAVS – RS 831.10]), ne justifie pas d’abattement, puisque le recourant est encore éloigné de l'âge à partir duquel le Tribunal fédéral reconnaît généralement que ce facteur peut être déterminant et nécessite une approche particulière (cf. arrêt 8C_175/2020 du 22 septembre 2020 consid. 4.2 rendu en matière d’assurance-accidents, qui concerne un assuré âgé de 59 ans au moment de la naissance du droit à la rente). Du reste, du moment que les activités adaptées envisagées ne requièrent ni formation, ni expérience professionnelle spécifique, les effets pénalisants au niveau salarial, induits par l’âge, ne peuvent pas être considérés comme suffisamment établis. Les emplois non qualifiés sont, en règle générale, disponibles indépendamment de l'âge de l'intéressé sur le marché équilibré du travail (arrêt du Tribunal fédéral 8C_103/2018, 8C_131/2018 du 25 juillet 2018 consid. 5.2 et les références). En outre, le critère de la nationalité du recourant, au bénéfice d’une autorisation d'établissement en Suisse (permis C), ne justifie pas non plus d'abattement sur le salaire statistique (arrêt du Tribunal fédéral 9C_855/2014 du 7 août 2015 consid. 5), d’autant qu’il ne l'a pas empêché de trouver un emploi en Suisse et que les salaires statistiques sont établis en fonction de la population résidente aussi bien suisse qu'étrangère (arrêt du Tribunal fédéral des assurances I.640/00 du 16 avril 2002 consid. 4d/bb [résumé in : REAS 2002 p. 308]). Par ailleurs, l'influence de la durée de service diminue dans la mesure où les exigences d'un emploi dans le secteur privé sont moins élevées. Ainsi, un abattement pour années de service n'est pas justifié, comme en l’espèce, dans le cadre du niveau de compétences 1 dès l'ESS 2012 (arrêt du Tribunal fédéral 8C_883/2015, 8C_884/2015 du 21 octobre 2016 consid. 6.3.2 et les références). Au regard de ces éléments, force est de constater que l’évaluation globale de l’abattement ne permettait pas de retenir une déduction supérieure à un taux de l’ordre de 15 %. Dans ce cas de figure, le revenu d’invalide de CHF 57'295.07 (CHF 67'405.96 – CHF 10'110.89; 10'110.89 = 67'405.96 × 15 %), comparé au revenu sans invalidité de CHF 75'154.61, donnerait un degré d'invalidité de 23.76 % ([75'154.61- 57'295.07] / 75'154.61× 100), arrondi à 24 % (ATF 130 V 121 consid. 3.2).</w:t>
      </w:r>
    </w:p>
    <w:p>
      <w:r>
        <w:t>A/872/2020 - 29/32 - Dans la mesure où ce taux est légèrement inférieur à celui admis par l’intimée (25 %), la chambre de céans renonce, comme elle en a la faculté, à une reformatio in pejus (ATF 119 V 249 consid. 5). g. Au vu de ce qui précède, il convient de confirmer le taux d’invalidité de 25 % fixé par l’intimée. 14. a. Reste à déterminer si le recourant peut prétendre à une indemnité pour atteinte à l’intégrité supérieure au taux de 25 % retenu par l’intimée. b.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1ère phrase).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w:t>
      </w:r>
    </w:p>
    <w:p>
      <w:r>
        <w:t>A/872/2020 - 30/32 - c.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Cette disposition a été jugée conforme à la loi en tant qu'elle définit le caractère durable de l'atteinte (ATF 133 V 224 consid. 2; arrêt du Tribunal fédéral des assurances U.401/06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U.134/03 du 12 janvier 2004 consid. 5.2). d.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1ère phrase, de l'annexe 3 à l’OLAA). Pour les atteintes à l'intégrité spéciales ou qui ne figurent pas dans la liste, le barème est appliqué par analogie, en fonction de la gravité de l’atteinte (ch. 1, 2ème phrase, de l’annexe 3 à l’OLAA).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e. D'après la table 5 d’indemnisation de la SUVA relative au taux d’atteinte à l’intégrité résultant d’arthroses, l’atteinte à l’intégrité se situe entre 10-25 % en cas d’arthrose grave de l’épaule (gléno-humérale ; cf. https://www.suva.ch/fr- CH/materiel/documentation/tableau-05-atteinte-a-l-integrite-resultant-d-arthroses).</w:t>
      </w:r>
    </w:p>
    <w:p>
      <w:r>
        <w:t>A/872/2020 - 31/32 - 15. En l’espèce, après avoir étudié le dossier du recourant, y compris radiologique, et procédé à son examen clinique, le Dr D______ a, dans son rapport du 29 septembre 2017, indiqué, en connaissance des limitations de celui-ci, que l’atteinte à la santé consistait en une arthrose grave avec une mauvaise fonction. Le médecin a retenu la fourchette la plus élevée en application de la table 5 précitée. Aucun avis médical au dossier ne permet de mettre en doute l’appréciation probante du Dr D______. Par conséquent, par appréciation anticipée des preuves (ATF 144 II 427 consid. 3.1.3), il convient de renoncer à la mise en œuvre d’une expertise judiciaire requise par le recourant. Aussi le taux de l’atteinte à l’intégrité arrêté à 25 % sera-t-il confirmé. 16. Au vu de ce qui précède, le recours, mal fondé, sera rejeté. 17. Le recourant, qui succombe, n’a pas droit à des dépens (art. 61 let. g LPGA a contrario). Pour le surplus, la procédure est gratuite (art. 61 let. a LPGA).</w:t>
      </w:r>
    </w:p>
    <w:p>
      <w:r>
        <w:t>A/872/2020 - 32/32 -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