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ATAS/529/2017 vom 23. Juni 2017</w:t>
      </w:r>
    </w:p>
    <w:p>
      <w:r>
        <w:t>GE Cour de justice, 2017-06-23, FR</w:t>
      </w:r>
    </w:p>
    <w:p>
      <w:r>
        <w:rPr>
          <w:b/>
        </w:rPr>
        <w:t xml:space="preserve">Quelle: </w:t>
      </w:r>
      <w:r>
        <w:t>https://mcp.opencaselaw.ch/entscheid/ge_gerichte_ATAS_529_2017</w:t>
      </w:r>
    </w:p>
    <w:p>
      <w:r>
        <w:t>FR: GE_GERICHTE ATAS/529/2017 du 23 juin 2017</w:t>
      </w:r>
    </w:p>
    <w:p>
      <w:r>
        <w:t>IT: GE_GERICHTE ATAS/529/2017 del 23 giugno 2017</w:t>
      </w:r>
    </w:p>
    <w:p>
      <w:pPr>
        <w:pStyle w:val="Heading2"/>
      </w:pPr>
      <w:r>
        <w:t>Erwägungen</w:t>
      </w:r>
    </w:p>
    <w:p>
      <w:r>
        <w:rPr>
          <w:b/>
        </w:rPr>
        <w:t>E. 1</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S'agissant des prévisions sur l'issue du litige, le Tribunal fédéral a jugé, dans un cas I 439/06 du 19 septembre 2006, qu’elles ne présentent pas pour l'assurée, un degré de certitude suffisant pour qu'elles soient prises en considération ; les avis divergeaient aussi bien sur la situation médicale concrète de l'assurée que sur l'appréciation de sa capacité résiduelle de travail, rendant l'issue du litige tout à fait incertaine ;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 le retrait de l'effet suspensif par l'autorité était par conséquent justifié.</w:t>
      </w:r>
    </w:p>
    <w:p>
      <w:r>
        <w:t>A/2347/2017 - 24/25 -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w:t>
      </w:r>
    </w:p>
    <w:p>
      <w:r>
        <w:rPr>
          <w:b/>
        </w:rPr>
        <w:t>E. 2</w:t>
      </w:r>
    </w:p>
    <w:p>
      <w:r>
        <w:t>En l'espèce, la décision litigieuse mentionne que l’effet suspensif à un éventuel recours peut être retiré. Le recourant prétend à la continuation du versement de l’indemnité journalière au- delà du 31 décembre 2016. Or, au vu des multiples avis médicaux au dossier, dont l’expertise judiciaire du 27 mai 2013 et les avis des médecins-traitants et du médecin-conseil de l’intimée, parfois divergents, on ne saurait considérer que les prévisions sur l’issue du litige ne font aucun doute. Ainsi, s'agissant des chances de prévisions sur l'issue du litige, elles ne présentent pas un degré de certitude suffisant pour pouvoir être prises en considération. En application de la jurisprudence précitée, il est à craindre dans un tel cas que si le recourant n'obtient pas gain de cause, la procédure en restitution des prestations reçues à tort ne se révèle infructueuse, le recourant ayant fait état d’une situation financière difficile.</w:t>
      </w:r>
    </w:p>
    <w:p>
      <w:r>
        <w:rPr>
          <w:b/>
        </w:rPr>
        <w:t>E. 3</w:t>
      </w:r>
    </w:p>
    <w:p>
      <w:r>
        <w:t>Au vu de ce qui précède et de la jurisprudence précitée, la requête en restitution de l'effet suspensif au recours sera rejetée.</w:t>
      </w:r>
    </w:p>
    <w:p>
      <w:r>
        <w:t>A/2347/2017 - 25/25 - PAR CES MOTIFS, LA CHAMBRE DES ASSURANCES SOCIALES : Statuant sur incident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