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ATAS/529/2010 vom 18. Mai 2010</w:t>
      </w:r>
    </w:p>
    <w:p>
      <w:r>
        <w:t>GE Cour de justice, 2010-05-18, FR</w:t>
      </w:r>
    </w:p>
    <w:p>
      <w:r>
        <w:rPr>
          <w:b/>
        </w:rPr>
        <w:t xml:space="preserve">Quelle: </w:t>
      </w:r>
      <w:r>
        <w:t>https://mcp.opencaselaw.ch/entscheid/ge_gerichte_ATAS_529_2010</w:t>
      </w:r>
    </w:p>
    <w:p>
      <w:r>
        <w:t>FR: GE_GERICHTE ATAS/529/2010 du 18 mai 2010</w:t>
      </w:r>
    </w:p>
    <w:p>
      <w:r>
        <w:t>IT: GE_GERICHTE ATAS/529/2010 del 18 maggio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le principe et le montant des cotisations AVS/AI dû par l'assurée en qualité de personne non-active.</w:t>
      </w:r>
    </w:p>
    <w:p>
      <w:r>
        <w:rPr>
          <w:b/>
        </w:rPr>
        <w:t>E. 4</w:t>
      </w:r>
    </w:p>
    <w:p>
      <w:r>
        <w:t>Sont assurées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 RAVS). Aux termes de l'article 16 al. 1 LAVS,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w:t>
      </w:r>
    </w:p>
    <w:p>
      <w:r>
        <w:t>A/3473/2009 - 4/5 - est entrée en force. Si le droit de réclamer des cotisations non versées naît d’un acte punissable pour lequel la loi pénale prévoit un délai de prescription plus long, ce délai est déterminant."</w:t>
      </w:r>
    </w:p>
    <w:p>
      <w:r>
        <w:rPr>
          <w:b/>
        </w:rPr>
        <w:t>E. 5</w:t>
      </w:r>
    </w:p>
    <w:p>
      <w:r>
        <w:t>En l'espèce, l'assurée est domiciliée à Genève et sans activité depuis fin 2003, elle est partant tenue de s'acquitter des cotisations personnelles AVS-AI en tant que non-active depuis le 1er janvier 2004.</w:t>
      </w:r>
    </w:p>
    <w:p>
      <w:r>
        <w:rPr>
          <w:b/>
        </w:rPr>
        <w:t>E. 6</w:t>
      </w:r>
    </w:p>
    <w:p>
      <w:r>
        <w:t>Force est de constater que la CCGC a réclamé à l'assurée le paiement des cotisations personnelles dues dans les délais prévus à l'art. 16 LAVS et que le calcul auquel elle a procédé pour en fixer le montant l'a été conformément aux dispositions légales et règlementaires en vigueur.</w:t>
      </w:r>
    </w:p>
    <w:p>
      <w:r>
        <w:rPr>
          <w:b/>
        </w:rPr>
        <w:t>E. 7</w:t>
      </w:r>
    </w:p>
    <w:p>
      <w:r>
        <w:t>L'assurée ne comprend pas pour quelle raison le paiement des intérêts moratoires lui est réclamé. Il n'est pas contesté qu'aucune faute ne lui est imputable. Le prélèvement d’intérêts moratoires constitue toutefois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enfin que la CCGC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Il y a ainsi lieu de confirmer les décisions rendues par la CCGC le 26 août 2009 pour les années 2004 et 2005 et le 8 juin 2009 pour les années 2007 et 2008. Aussi le recours est-il rejeté.</w:t>
      </w:r>
    </w:p>
    <w:p>
      <w:r>
        <w:t>A/3473/2009 - 5/5 -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