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ATAS/529/2009 vom 30. April 2008</w:t>
      </w:r>
    </w:p>
    <w:p>
      <w:r>
        <w:t>GE Cour de justice, 2008-04-30, FR</w:t>
      </w:r>
    </w:p>
    <w:p>
      <w:r>
        <w:rPr>
          <w:b/>
        </w:rPr>
        <w:t xml:space="preserve">Quelle: </w:t>
      </w:r>
      <w:r>
        <w:t>https://mcp.opencaselaw.ch/entscheid/ge_gerichte_ATAS_529_2009</w:t>
      </w:r>
    </w:p>
    <w:p>
      <w:r>
        <w:t>FR: GE_GERICHTE ATAS/529/2009 du 30 avril 2008</w:t>
      </w:r>
    </w:p>
    <w:p>
      <w:r>
        <w:t>IT: GE_GERICHTE ATAS/529/2009 del 30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A/260/2009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Le juge des assurances sociales doit déterminer les montants devant être partagé, dans les proportions fixées par le juge du divorce. À ce titre, il doit examiner les aspects nécessaires pour le partage des prestations de sortie, comme l'étendue des prestations de sortie dont peuvent se prévaloir les conjoints à l'égard des institutions de prévoyance professionnelle, calculer le montant à partager, et décider quelle institution de prévoyance devra verser celle-ci. En revanche, les proportions dans lesquelles les prestations de sortie doivent être partagées lier le juge des assurances sociales, et le juge du divorce est seul compétent pour fixer ces prestations (cf. art. 142 CCS, 25a al. 1 LFLP ; Cahier genevois et romans de sécurité sociale, numéro 42/2009, jurisprudence 2007 du Tribunal fédéral en matière de prévoyance professionnelle, p. 193). En l'espèce, le juge du divorce a souhaité que l'ensemble des avoirs constitués par les parties durant le mariage soit partagé en deux, selon la clé de répartition usuelle. Or, il apparaît que la demanderesse a cotisé durant près de 10 ans auprès de la caisse de pension de l'ONU. Cette caisse de pension n'est pas soumise au droit suisse, dispose de l'immunité diplomatique, de sorte qu'elle ne peut pas être questionnée par le Tribunal de céans, et qu'encore moins il n'est possible de partager les avoirs que possède la demanderesse auprès de cette caisse. La volonté du juge du divorce n'est donc pas exécutable. À noter que lorsque le partage des avoirs de prévoyance n'est pas possible, le juge du divorce peut - ou doit - fixer une indemnité équitable. Constitue des cas d'impossibilité du partage, non seulement les cas dans lesquels un cas de prévoyance est survenu pour l'un des deux époux, mais également les cas où le partage s'avère impossible pour d'autres motifs, par exemple lorsqu'un conjoint est affilié à une institution de prévoyance étrangère ou dans une institution de prévoyance non soumise à la LFLP (cf. message du Conseil fédéral, in Feuille fédéral 1996, tome I, p. 109; J.-A. SCHNEIDER, C. BRUCHEZ, "La prévoyance professionnelle et le divorce" in le nouveau droit du divorce - 2000 p. 240-241). La question de l'impossibilité et du partage lorsque l'un des deux époux a cotisé auprès</w:t>
      </w:r>
    </w:p>
    <w:p>
      <w:r>
        <w:t>A/260/2009 4/4 de la caisse de pension de l'ONU a, par ailleurs, été jugé plusieurs fois par la juridiction de céans (voir par exemple ATAS 950/2006, 1049/2006 et 1005/2008). Par conséquent, l'exécution du partage est impossible en l'espèce.</w:t>
      </w:r>
    </w:p>
    <w:p>
      <w:r>
        <w:rPr>
          <w:b/>
        </w:rPr>
        <w:t>E. 4</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