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ATAS/528/2022 vom 7. Juni 2022</w:t>
      </w:r>
    </w:p>
    <w:p>
      <w:r>
        <w:t>GE Cour de justice, 2022-06-07, FR</w:t>
      </w:r>
    </w:p>
    <w:p>
      <w:r>
        <w:rPr>
          <w:b/>
        </w:rPr>
        <w:t xml:space="preserve">Quelle: </w:t>
      </w:r>
      <w:r>
        <w:t>https://mcp.opencaselaw.ch/entscheid/ge_gerichte_ATAS_528_2022</w:t>
      </w:r>
    </w:p>
    <w:p>
      <w:r>
        <w:t>FR: GE_GERICHTE ATAS/528/2022 du 7 juin 2022</w:t>
      </w:r>
    </w:p>
    <w:p>
      <w:r>
        <w:t>IT: GE_GERICHTE ATAS/528/2022 del 7 giugno 2022</w:t>
      </w:r>
    </w:p>
    <w:p>
      <w:pPr>
        <w:pStyle w:val="Heading2"/>
      </w:pPr>
      <w:r>
        <w:t>Erwägungen</w:t>
      </w:r>
    </w:p>
    <w:p>
      <w:r>
        <w:rPr>
          <w:b/>
        </w:rPr>
        <w:t>E. 1.1</w:t>
      </w:r>
    </w:p>
    <w:p>
      <w:r>
        <w:t>Conformément à l'art. 134 al. 1 let. a ch. 1 de la loi sur l'organisation judiciaire, du 26 septembre 2010 (LOJ - E 2 ,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1.2</w:t>
      </w:r>
    </w:p>
    <w:p>
      <w:r>
        <w:t>Sa compétence pour juger du cas d’espèce est ainsi établie.</w:t>
      </w:r>
    </w:p>
    <w:p>
      <w:r>
        <w:rPr>
          <w:b/>
        </w:rPr>
        <w:t>E. 2</w:t>
      </w:r>
    </w:p>
    <w:p>
      <w:r>
        <w:t>Le litige porte sur le droit de l’intimée au paiement d’un montant de CHF 49'311.25 par le recourant à titre de réparation du dommage subi ensuite du non-paiement de cotisations sociales dues par la société à responsabilité limitée qui a fait faillite, dont le recourant était l’associé gérant avec signature individuelle. Le recourant critique le principe même de sa responsabilité d’employeur en tant qu’associé gérant, le dommage ayant uniquement été causé, selon lui, par l’employé de la société auquel il avait donné son entière confiance et « tout pouvoir » de gestion et qui a été condamné pour gestion déloyale et abus de confiance.</w:t>
      </w:r>
    </w:p>
    <w:p>
      <w:r>
        <w:rPr>
          <w:b/>
        </w:rPr>
        <w:t>E. 3</w:t>
      </w:r>
    </w:p>
    <w:p>
      <w:r>
        <w:t>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Les personnes qui sont organes formels et légaux d’une personne morale, notamment d’une société à responsabilité limitée, entrent en principe toujours en considération en tant que responsables subsidiaires aux conditions de l’art. 52 LAVS (cf. ATF 132 III 523 consid. 4.5 et 126 V 237 ; arrêt du Tribunal fédéral 9C_1086/2009 du 15 juillet 2010 consid. 4.2). Cela dit, les faits reprochés à une</w:t>
      </w:r>
    </w:p>
    <w:p>
      <w:r>
        <w:t>A/3035/2021 - 5/10 -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ou lui incombe légalement. L’organe ne répond ainsi du dommage que s’il a violé intentionnellement ou par une négligence grave ses devoirs et qu'il existe un lien de causalité adéquate entre le manquement qui lui est imputable et le préjudice subi par la caisse de compensation (ATF 132 III 523 consid. 4.6).</w:t>
      </w:r>
    </w:p>
    <w:p>
      <w:r>
        <w:rPr>
          <w:b/>
        </w:rPr>
        <w:t>E. 4</w:t>
      </w:r>
    </w:p>
    <w:p>
      <w:r>
        <w:t>L'art. 14 al. 1 LAVS (en corrélation avec les art. 34 ss RAVS [règlement du 31 octobre 1947 sur l'assurance-vieillesse et survivants ; RS 831.101])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 et 132 III 523 consid. 4.4).</w:t>
      </w:r>
    </w:p>
    <w:p>
      <w:r>
        <w:rPr>
          <w:b/>
        </w:rPr>
        <w:t>E. 5</w:t>
      </w:r>
    </w:p>
    <w:p>
      <w:r>
        <w:t>L’art. 809 al. 1 CO (loi fédérale du 30 mars 1911 complétant le code civil suisse [Livre cinquième: Droit des obligations];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Mélanie FRETZ, La responsabilité selon l’art. 52 LAVS : une comparaison avec les art. 78 LPGA et 52 LPP, in : HAVE/REAS 3/2009 p. 242).</w:t>
      </w:r>
    </w:p>
    <w:p>
      <w:r>
        <w:t>A/3035/2021 - 6/10 -</w:t>
      </w:r>
    </w:p>
    <w:p>
      <w:r>
        <w:rPr>
          <w:b/>
        </w:rPr>
        <w:t>E. 6</w:t>
      </w:r>
    </w:p>
    <w:p>
      <w:r>
        <w:t>Si plusieurs personnes sont responsables d’un même dommage, elles répondent solidairement de la totalité du dommage (art. 52 al. 2 phr. 2 LAVS). La responsabilité solidaire autorise la caisse de compensation à procéder contre l’ensemble ou seulement quelques-uns des auteurs du dommage, cas échéant contre un seul d’entre eux (ATF 134 V 306 consid. 3.1 et 114 V 213 consid. 3). Une limitation de la responsabilité en faveur d’un organe en raison de la faute tierce concomitante d’un responsable solidaire n’intervient que dans des situations exceptionnelles (SVR 2008 AHV n° 5 consid. 4.2.2).</w:t>
      </w:r>
    </w:p>
    <w:p>
      <w:r>
        <w:rPr>
          <w:b/>
        </w:rPr>
        <w:t>E. 7</w:t>
      </w:r>
    </w:p>
    <w:p>
      <w:r>
        <w:t>Dans sa décision sur opposition contestée, datée du 10 août 2021, l’intimée a exposé que la société n’avait pas rempli ses obligations légales à son égard. Elle a estimé qu’elle subissait dès lors un dommage à hauteur de CHF 49'311.25 au total, dans la mesure où la société précitée, en tant qu’employeuse, avait omis de s’acquitter des cotisations paritaires dues pour les années 2011 et 2013 à 2015. Après avoir constaté que le dommage subi ne pouvait être réparé par la société dont la faillite avait été suspendue faute d’actifs le 11 mai 2017, l’intimée a exigé du recourant en sa qualité d’associé gérant la réparation de la totalité du dommage. L’intimée a fait le choix de renoncer à agir contre l’associée qui ne détenait alors pas de pouvoir de signature, choix que la chambre de céans ne peut remettre en question dans le cadre de la présente procédure. Le recourant, quant à lui, ne conteste pas que la société a omis de s’acquitter d’une part des cotisations paritaires dues pour lesdites années 2011 et 2013 à 2015 conformément au contrôle d’employeur et ne remet pas en cause le montant du dommage subi. Il fait en revanche valoir qu’il n’aurait commis aucune faute dans la gestion de l’entreprise, dès lors qu’il a fait entièrement confiance à l’employé auquel il avait confié la gestion administrative de la société, lequel a abusé des fonds de la société à son profit. À titre liminaire, il convient de mentionner qu’à juste titre, le recourant ne fait pas valoir que le droit à la réparation serait prescrit. En effet, le droit à la réparation du dommage se prescrit deux ans après que la caisse de compensation compétente a eu connaissance du dommage et, dans tous les cas, cinq ans après la survenance du dommage (art. 52 al. 3 LAVS dans sa teneur en vigueur jusqu’au 31 décembre 2020). Le dommage est réputé survenu dès que l’on doit admettre que les cotisations dues ne peuvent plus être recouvrées pour des motifs juridiques ou de fait, que ce soit en raison de la péremption des cotisations (art. 16 al. 1 LAVS) ou de l’insolvabilité de l'employeur (ATF 136 V 268 consid. 2.6 et 134 V 257 consid 3.2). Dans le cas d’espèce, la faillite ayant été suspendue faute d’actifs le 11 mai 2017, le dommage est ainsi survenu en mai 2017. En rendant sa décision de réparation du dommage à l’encontre du recourant, le 21 juillet 2017, puis en la confirmant le</w:t>
      </w:r>
    </w:p>
    <w:p>
      <w:r>
        <w:rPr>
          <w:b/>
        </w:rPr>
        <w:t>E. 10</w:t>
      </w:r>
    </w:p>
    <w:p>
      <w:r>
        <w:t>Le recourant, représenté par un conseil, n'obtenant gain de cause, ni sur le principe de sa responsabilité, ni sur la majeure partie du dommage dont il est responsable, l'indemnité sera fixée à CHF 200.-. (art. 61 let. g LPGA ; art. 6 du règlement sur les frais, émoluments et indemnités en matière administrative du 30 juillet 1986 [RFPA - E 5 10.03]).</w:t>
      </w:r>
    </w:p>
    <w:p>
      <w:r>
        <w:rPr>
          <w:b/>
        </w:rPr>
        <w:t>E. 11</w:t>
      </w:r>
    </w:p>
    <w:p>
      <w:r>
        <w:t>Pour le surplus, la procédure est gratuite.</w:t>
      </w:r>
    </w:p>
    <w:p>
      <w:r>
        <w:t>A/3035/2021 - 10/10 - PAR CES MOTIFS, LA CHAMBRE DES ASSURANCES SOCIALES : Statuant À la forme : 1. Déclare le recours recevable. Au fond : 2. L'admet très partiellement, dans le sens des considérants. 3. Renvoie la cause à l'intimée pour nouveau calcul du dommage excluant les cotisations impayées découlant de la LAMat, les intérêts moratoires et frais administratifs afférents à ces montants, et nouvelle décision. 4. Rejette le recours pour le surplus et confirme donc la responsabilité du recourant pour les années 2011 et 2013 à 2015. 5. Alloue au recourant une indemnité de CHF 200.- à titre de dépens,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