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ATAS/528/2012 vom 19. April 2012</w:t>
      </w:r>
    </w:p>
    <w:p>
      <w:r>
        <w:t>GE Cour de justice, 2012-04-19, FR</w:t>
      </w:r>
    </w:p>
    <w:p>
      <w:r>
        <w:rPr>
          <w:b/>
        </w:rPr>
        <w:t xml:space="preserve">Quelle: </w:t>
      </w:r>
      <w:r>
        <w:t>https://mcp.opencaselaw.ch/entscheid/ge_gerichte_ATAS_528_2012</w:t>
      </w:r>
    </w:p>
    <w:p>
      <w:r>
        <w:t>FR: GE_GERICHTE ATAS/528/2012 du 19 avril 2012</w:t>
      </w:r>
    </w:p>
    <w:p>
      <w:r>
        <w:t>IT: GE_GERICHTE ATAS/528/2012 del 19 aprile 2012</w:t>
      </w:r>
    </w:p>
    <w:p>
      <w:pPr>
        <w:pStyle w:val="Heading2"/>
      </w:pPr>
      <w:r>
        <w:t>Erwägungen</w:t>
      </w:r>
    </w:p>
    <w:p>
      <w:r>
        <w:rPr>
          <w:b/>
        </w:rPr>
        <w:t>E. 1</w:t>
      </w:r>
    </w:p>
    <w:p>
      <w:r>
        <w:t>La Cour de céans s’étant déjà prononcée sur sa compétence et sur la recevabilité du recours dans le cadre de l’ordonnance d’expertise du 3 mai 2011, il n’y a pas lieu de revenir sur ces questions.</w:t>
      </w:r>
    </w:p>
    <w:p>
      <w:r>
        <w:rPr>
          <w:b/>
        </w:rPr>
        <w:t>E. 2</w:t>
      </w:r>
    </w:p>
    <w:p>
      <w:r>
        <w:t>S’agissant du droit applicable, il sied de rappeler que ce sont les dispositions de la loi fédérale sur l’assurance-invalidité (ci-après LAI ; RS 831.20) en vigueur depuis le 1er janvier 2008 qui sont déterminantes, l’incapacité de travail significative de la recourante ayant débuté au 29 janvier 2010 et la demande de prestations ayant été déposée durant le mois de mai 2010.</w:t>
      </w:r>
    </w:p>
    <w:p>
      <w:r>
        <w:t>A/99/2011 - 13/25 -</w:t>
      </w:r>
    </w:p>
    <w:p>
      <w:r>
        <w:rPr>
          <w:b/>
        </w:rPr>
        <w:t>E. 3</w:t>
      </w:r>
    </w:p>
    <w:p>
      <w:r>
        <w:t>Le litige porte sur la question de savoir si c’est à juste titre que l’intimé a nié à la recourante tout droit à des prestations. Il conviendra pour cela de se déterminer sur sa capacité de travail et son degré d’invalidité.</w:t>
      </w:r>
    </w:p>
    <w:p>
      <w:r>
        <w:rPr>
          <w:b/>
        </w:rPr>
        <w:t>E. 4</w:t>
      </w:r>
    </w:p>
    <w:p>
      <w:r>
        <w:t>Aux termes de l’art. 8 al. 1er de la loi fédérale sur la partie générale du droit des assurances sociales du 6 octobre 2000 (LPGA; RS 830.1),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5</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w:t>
      </w:r>
    </w:p>
    <w:p>
      <w:r>
        <w:t>A/99/2011 - 14/25 -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t>A/99/2011 - 15/25 -</w:t>
      </w:r>
    </w:p>
    <w:p>
      <w:r>
        <w:rPr>
          <w:b/>
        </w:rPr>
        <w:t>E. 6</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A/99/2011 - 16/25 - de poids aux constatations faites par un spécialiste qu’à l’appréciation de l’incapacité de travail par le médecin de famille (ATF 125 V 351 consid. 3b/cc et les références ; RJJ 1995, p. 44 ; RCC 1988 p. 504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la Cour de céans a mis en œuvre une expertise rhumatologique et psychiatrique, laquelle a été complétée par l’audition des experts. Cette expertise a été établie sur la base du dossier de la recourante et du rapport d’expertise bi-disciplinaire de la Clinique CORELA du 24 décembre 2010, d’un entretien téléphonique avec le Dr O___________, d’une anamnèse comprenant un volet familial, personnel, professionnel et médical, des plaintes de la recourante et d’examens médicaux effectués en date des 12 et 26 août 2011. Les experts exposent clairement leurs constatations découlant des examens, les atteintes dont souffre la recourante et leurs conclusions sont motivées. En ce qui concerne le volet psychiatrique, l’expert a expliqué de manière convaincante les raisons qui l’avaient amené à retenir tel ou tel diagnostic. Il a en particulier expliqué que le trouble dépressif devait être qualifié de moyen eu égard à l’isolement social important auquel il avait conduit, à la perte complète de confiance en soi de l’assurée, aux dysfonctionnements de la concentration et de la mémoire de cette dernière et à une anticipation anxieuse négative. Il a également expliqué que l’anxiété associée au trouble dépressif ne justifiait pas de diagnostic à part. Il a aussi rappelé que le diagnostic de fibromyalgie devait être posé par un rhumatologue - ce qui est conforme à la jurisprudence -, et explicité les critères d’exclusion pour le trouble somatoforme douloureux. Du point de vue somatique, l’expert rhumatologue a estimé qu’il n’existait aucune pathologie objective pouvant expliquer l’ensemble du tableau douloureux en dehors d’une fasciite plantaire rebelle aux traitements conservateurs, confirmée par une échographie, et de névromes de Morton comblant les espaces inter métatarsiens 2 et 3. L’expert a expliqué que les différentes atteintes engendraient un ralentissement psychomoteur, une perte de confiance en soi, une perte d’assurance, une perte de motivation, des troubles de la concentration et des difficultés d’apprentissage, et</w:t>
      </w:r>
    </w:p>
    <w:p>
      <w:r>
        <w:t>A/99/2011 - 17/25 - entrainaient des limitations fonctionnelles. Ses conclusions quant à l’incapacité de la recourante à exercer son ancienne activité sont motivées. Quant à la limitation à 50% de la capacité de l’intéressée à exercer une activité adaptée, elle n’est motivée que par des motifs psychiatriques. En effet, l’expert rhumatologue a admis que, dans la mesure où les atteintes objectivées touchent essentiellement les pieds, la recourante est effectivement en mesure, d’un point vue strictement somatique, de débuter une activité s’exerçant en position assise ou une activité de manutention légère. Il résulte, de manière intelligible, tant de l’expertise que des déclarations des experts en audience, que la limitation de la capacité de travail de la recourante à 50% n’est justifiée que par la gravité de son état dépressif, des limitations qui en résultent, de sa blessure narcissique et du peu de ressources psychiques dont elle dispose. Le psychiatre a précisé que cette diminution n’est en rien fonction de la constellation sociale et a également expliqué pour quelles raisons il n’a pas conclu à une totale incapacité. Le fait que les experts ne s’accordent pas sur la question de savoir si une aide au placement ou une mesure de réorientation professionnelle serait nécessaire ne permet pas de conclure à une contradiction dans l’expertise ; il suffira de retenir que les experts reconnaissent à l’intéressée le besoin d’aide pour recommencer à travailler. Par ailleurs, il résulte des déclarations des experts qu’ils ont examiné la recourante individuellement, qu’ils ont échangé leurs avis et conclusions par la suite et en ont tenu compte réciproquement, de sorte que leurs conclusions ont été établies de manière coordonnée. Enfin, le rapport d’expertise ne laisse pas apparaître de jugement de valeur. Au vu de tout ce qui précède, il convient de conclure que ce rapport, convaincant au demeurant, doit se voir reconnaitre pleine valeur probante au sens de la jurisprudence. c) En revanche, tel n’est pas le cas de celui de la Clinique CORELA. En effet, bien qu’il se fonde sur des examens rhumatologique et psychiatrique, le dossier médical de la recourante, une anamnèse familiale, personnelle, professionnelle et médicale, les plaintes de la recourante, et bien que les constatations objectives soient exposées, ce rapport d’expertise comporte des incohérences et des contradictions manifestes. Après avoir mené leur examen de l’assurée en présence de la fille de celle-ci, les experts ont reconnu qu’il aurait fallu la présence d’un véritable interprète pour approfondir certaines finesses psychologiques et ont remis en cause les réponses données aux questionnaires au motif qu’ils avaient été remplis par la fille de l’assurée et non par cette dernière (p. 50, 52 et 53 de rapport). On s’étonne dès lors</w:t>
      </w:r>
    </w:p>
    <w:p>
      <w:r>
        <w:t>A/99/2011 - 18/25 - que les experts n’aient pas convoqué un interprète et complété leur examen plutôt que de s’en tenir à une exploration dont ils admettaient qu’elle était viciée. Par ailleurs, les experts, après avoir admis l’impossibilité de l’assurée à rester debout plus d’une heure en raison d’une gonarthrose bilatérale, d’un syndrome de Morton, d’une aponévrosite plantaire et de lombalgies basses mécaniques, lui reconnaissent une capacité de travail de 100% seulement diminuée de 20% dans l’activité de repasseuse dont il est évident qu’elle ne peut s’exercer que debout et qu’il ne suffirait pas à l’assurée de s’asseoir de temps à autre pour se soulager. Enfin, s’agissant des critères permettant d’apprécier le caractère invalidant d’un trouble somatoforme douloureux, l’expert psychiatre retient l’existence d’une dysthymie - pourtant niée précédemment (p. 54 et 59 du rapport) - mais omet de rappeler les affections corporelles chroniques pourtant constatées (syndrome de Morton ou l’aponévrosite plantaire). Eu égard à ces éléments, la valeur probante du rapport de la Clinique CORELA, apparait plus que douteuse, de sorte qu’il n’est pas susceptible de remettre en cause les conclusions de l’expertise judiciaire. d) Il convient dès lors de se fonder sur le rapport des Drs R___________ et S___________ pour établir la capacité de travail de la recourante et son évolution. Il est vrai, comme invoqué par l’intimé, que le Dr R___________ n’a pu se prononcer avec précision sur le moment où le trouble dépressif est passé de gravité sévère à moyenne. Il est ainsi difficile de savoir à quand remonte la capacité de travail de 50% de la recourante, résultant de l’existence du trouble dépressif moyen et des différentes limitations psychiatriques. Toutefois, il y a lieu de relever que les constatations de l’expert sont confirmées par les déclarations du Dr O___________ - psychiatre traitant de la recourante. En effet, lors de l’audience du 24 février 2011, il a notamment estimé que le trouble anxio-dépressif était de gravité moyenne, plutôt que sévère et les symptômes qu’il retient, dans ses rapports, sont pour l’essentiel similaires à ceux mis en exergue par l’expert psychiatre. Ainsi, dans la mesure où le Dr O___________ a précisé, en date du 28 février 2012, que l’état dépressif de la recourante est de gravité moyenne et non plus de gravité sévère depuis le mois de mars 2010 environ, la Cour de céans est d’avis qu’il convient de conclure, au degré de la vraisemblance prépondérante prévue par la jurisprudence, que la capacité de travail de la recourante était effectivement de 50% dans une activité adaptée dès le mois de mars 2010. Il sera précisé que sa capacité de travail était nulle du 29 janvier au mois de mars 2010 dans toutes les activités lucratives, eu égard aux rapports des médecins suivant la recourante durant cette période-là.</w:t>
      </w:r>
    </w:p>
    <w:p>
      <w:r>
        <w:t>A/99/2011 - 19/25 -</w:t>
      </w:r>
    </w:p>
    <w:p>
      <w:r>
        <w:rPr>
          <w:b/>
        </w:rPr>
        <w:t>E. 9</w:t>
      </w:r>
    </w:p>
    <w:p>
      <w:r>
        <w:t>En ce qui concerne la fibromyalgie, il n’est pas nécessaire de se déterminer sur son caractère invalidant. En effet, d’une part, le Dr S___________ a précisé, lors de l’audience du 1er décembre 2011, que d’un point de vue strictement rhumatologique, la capacité de travail était théoriquement de 100% et d’autre part, le Dr R___________ a clairement expliqué que le trouble dépressif de la recourante engendrait par lui-même l’incapacité de travail de 50% retenue. Partant, l’état dépressif est une affection autonome et non une comorbidité psychiatrique liée à la fibromyalgie (ATF 130 V 352).</w:t>
      </w:r>
    </w:p>
    <w:p>
      <w:r>
        <w:rPr>
          <w:b/>
        </w:rPr>
        <w:t>E. 10</w:t>
      </w:r>
    </w:p>
    <w:p>
      <w:r>
        <w:t>a) Il sera précisé à ce stade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b) En l’espèce, l’intimé a rendu sa décision en date du 1er décembre 2010, de sorte qu’en principe seuls les faits intervenus jusqu’à ce moment-là peuvent être pris en considération. Toutefois, dans la mesure où tant les experts que le Dr O___________ se sont prononcés sur l’état de santé de la recourante postérieurement au 1er décembre 2010 et que le délai de carence d’une année arrive à échéance de toute manière durant le mois de janvier 2011 (art. 28 al. 1 let. b LAI), il y aura lieu de tenir compte de leurs appréciations, et ce d’une part, car il s’agit de faits étroitement liés à l’objet du litige et d’autre part, pour des motifs évidents d’économie de procédure.</w:t>
      </w:r>
    </w:p>
    <w:p>
      <w:r>
        <w:rPr>
          <w:b/>
        </w:rPr>
        <w:t>E. 11</w:t>
      </w:r>
    </w:p>
    <w:p>
      <w:r>
        <w:t>Il convient ainsi de se déterminer sur le degré d’invalidité de la recourante. 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A/99/2011 - 20/25 -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A/99/2011 - 21/25 -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En l’espèce, il a été admis que l’assurée a été dans l’incapacité totale de travailler du 29 janvier au mois de mars 2010, puis capable d’exercer à 50 % une activité adaptée. A la fin du délai de carence, soit le 29 janvier 2011 (art. 28 al. 1 let. b et c LAI), sa capacité de travail était ainsi de 50% dans une activité adaptée. Il conviendrait certes de se placer en 2011 pour procéder à la comparaison des revenus, toutefois, dans la mesure où les données statistiques ne sont pas encore disponibles pour 2011, la comparaison des revenus s’effectuera sur la base des revenus 2010. Le revenu sans invalidité doit être déterminé en se fondant sur les déclarations de l’employeur de la recourante, lequel a indiqué, en date du 8 juin 2010, que son salaire annuel 2010 s’élevait à 42'900 francs. Pour déterminer le revenu d’invalide, il y a lieu de se fonder sur les salaires résultant de l’ESS, attendu que la recourante n’a pas repris d’activité lucrative depuis le 29 janvier 2010. Ainsi, en tenant compte du fait que la recourante n’a aucune formation professionnelle, le revenu mensuel standardisé d’une femme exerçant une activité simple et répétitive (tableau TA1, niveau de qualification 4, ligne totale, femme, part au 13ème salaire comprise) est de 4'225 fr. en 2010. Ce salaire hypothétique, calculé sur la base d’un horaire hebdomadaire de travail de 40 heures, doit encore être adapté à l’horaire de travail en 2010, lequel est de 41.6 heures (cf. Tableau « durée normale du travail dans les entreprises selon la division économique » de l’Office fédéral de la statistique). On obtient ainsi un revenu annuel brut de 52'728 fr. ((4'225 x 12) x 41.6 / 40), soit en tenant compte d’une capacité de travail de 50%, de 26'364 francs. En outre, il y a lieu de tenir compte des limitations fonctionnelles de la recourante, de sa nationalité étrangère, de son taux d’occupation de 50%, du fait qu’elle est illettrée ou encore du fait qu’elle ne comprend que très peu le français, de sorte qu’un abattement de 20% doit en tout les cas être retenu. Ainsi, en prenant en considération un tel abattement, le revenu d’invalide de la recourante 2010 est de 21'091 fr. 20 (26'364 - (26'364 x 20%)). Son degré d’invalidité est ainsi de 51% ((42'900 - 21'091) x 100 / 42'900), degré ouvrant droit à une demi-rente.</w:t>
      </w:r>
    </w:p>
    <w:p>
      <w:r>
        <w:t>A/99/2011 - 22/25 - Partant, attendu que la recourante a déposé sa demande de prestations en date du 11 mai 2010 et que le délai de carence d’une année est arrivé à échéance le 29 janvier 2011, elle a droit à une demi-rente dès le 1er janvier 2011 (art. 29 al. 3 LAI). Sur ce point, le recours sera, dès lors, partiellement admis.</w:t>
      </w:r>
    </w:p>
    <w:p>
      <w:r>
        <w:rPr>
          <w:b/>
        </w:rPr>
        <w:t>E. 13</w:t>
      </w:r>
    </w:p>
    <w:p>
      <w:r>
        <w:t>Enfin, il y a lieu de se poser la question de la mise en œuvre éventuelle de mesures de réinsertion ou d’ordre professionnel. a)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Lors de la fixation de ces mesures, il est tenu compte de la durée probable de la vie professionnelle restante. L’art. 8 al. 3 let. abis et let. b LAI dispose que les mesures de réadaptation comprennent des mesures de réinsertion préparant à la réadaptation professionnelle ou des mesures d’ordre professionnel (orientation professionnelle, formation professionnelle initiale, reclassement, placement, aide en capital). b) Aux termes de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1er). Sont considérées comme mesures de réinsertion les mesures socioprofessionnelles (let. a) et d’occupation (let. b) qui visent la réadaptation professionnelle (al. 2). À cet égard, l’art. 4quater du règlement du 17 janvier 1961 sur l’assurance-invalidité (RAI) précise qu’ont droit aux mesures de réinsertion les assurés qui sont capables d’assumer un temps de présence quotidien d’au moins deux heures pendant au moins quatre jours par semaine (al. 1er). D’autre part, ont droit aux mesures socioprofessionnelles les assurés qui ne sont pas encore aptes pour bénéficier de mesures d’ordre professionnel (al. 2), et aux mesures d’occupation les assurés qui risquent de perdre leur aptitude à la réadaptation en rapport avec les mesures d’ordre professionnel (al. 3). Sont considérées comme mesures socioprofessionnelles les mesures d’accoutumance au processus de travail, de stimulation de la motivation au travail, de stabilisation de la personnalité et de socialisation de base (art. 4quinquies al. 1er RAI). Sont considérées comme mesures d’occupation les mesures destinées à</w:t>
      </w:r>
    </w:p>
    <w:p>
      <w:r>
        <w:t>A/99/2011 - 23/25 - maintenir une structuration de la journée jusqu’à la mise en œuvre de mesures d’ordre professionnel ou jusqu’au début de rapports de travail sur le marché libre du travail (al. 2). Les mesures de réinsertion visent à combler la lacune existant entre la réinsertion sociale et la réinsertion professionnelle. Conçues comme une étape préparatoire aux mesures d’ordre professionnel, elles sont destinées en particulier aux personnes assurées qui, tout en présentant un potentiel de réadaptation, ne sont psychiquement pas encore assez stables pour se lancer directement dans une activité lucrative sur le marché primaire de l’emploi ou pour se soumettre à des mesures d’ordre professionnel. Les mesures préalables de réinsertion, faciles d’accès, visent à constituer progressivement la capacité de réadaptation (art. 14a al. 2 let. a LAI, art. 4quater al. 2 RAI) ou à la maintenir (art. 14a al. 2 let. b LAI, art. 4quater al. 3 RAI). Suivant le degré d’endurance de la personne assurée, on commencera par ne poser que des exigences relatives à la régularité de sa présence, et non à sa capacité productive de rendement (= capacité de rendement). Les mesures de réinsertion consistent à une préparation ciblée à l’exercice, sur le marché primaire de l’emploi, d’une activité propre à exclure l’octroi d’une rente ou à réduire celle-ci. Il s’agit de constituer ou de maintenir l’aptitude à la réadaptation soit par des mesures socioprofessionnelles ciblées prises dans l’optique de la réadaptation professionnelle, soit par des mesures d’occupation sans lesquelles cette aptitude menacerait de se perdre. Ont droit à des mesures de réinsertion en particulier les personnes assurées dont la capacité de travail est réduite pour des raisons d’ordre psychique (Circulaire sur les mesures de réinsertion valable dès le 1er janvier 2008, CMR, p. 2, no 1 et 2). c) Selon l’art. 17 LAI, l’assuré a droit au reclassement dans une nouvelle profession si son invalidité rend cette mesure nécessaire et que sa capacité de gain peut ainsi, selon toute vraisemblance, être maintenue ou améliorée (al. 1er). D’après l’art. 15 LAI, l’assuré auquel son invalidité rend difficile le choix d’une profession ou l’exercice de son activité antérieure a droit à l’orientation professionnelle. Aux termes de l'art. 18 al. 1 LAI , l'assuré présentant une incapacité de travail et susceptible d'être réadapté a droit: a) à un soutien actif dans la recherche d'un emploi approprié; b) à un conseil suivi afin de conserver un emploi.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w:t>
      </w:r>
    </w:p>
    <w:p>
      <w:r>
        <w:t>A/99/2011 - 24/25 -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Umeyer-Blaser, Rechtsprechung des Bundesgerichts zum IVG, ad Art. 15 IVG). Point n'est en principe besoin de présenter une perte de gain pour bénéficier d'une telle mesure (Arrêt du Tribunal fédéral 9C_385/2009 du 13 octobre 2009).</w:t>
      </w:r>
    </w:p>
    <w:p>
      <w:r>
        <w:rPr>
          <w:b/>
        </w:rPr>
        <w:t>E. 14</w:t>
      </w:r>
    </w:p>
    <w:p>
      <w:r>
        <w:t>L’OAI n’ayant pas encore instruit la possibilité de mettre en œuvre une mesure de réadaptation, la cause lui sera renvoyée pour ce faire. L’OAI devra en particulier répondre à la question de savoir si la recourante aurait besoin d’une mesure de réinsertion avant la mise en place d’une mesure d’ordre professionnel. En ce sens, le recours est partiellement admis.</w:t>
      </w:r>
    </w:p>
    <w:p>
      <w:r>
        <w:rPr>
          <w:b/>
        </w:rPr>
        <w:t>E. 15</w:t>
      </w:r>
    </w:p>
    <w:p>
      <w:r>
        <w:t>La recourante, représentée par un conseil, obtenant partiellement gain de cause, une indemnité de 3'500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l’OAI.</w:t>
      </w:r>
    </w:p>
    <w:p>
      <w:r>
        <w:t>A/99/2011 - 25/25 -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