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ATAS/528/2008 vom 5. Mai 2008</w:t>
      </w:r>
    </w:p>
    <w:p>
      <w:r>
        <w:t>GE Cour de justice, 2008-05-05, FR</w:t>
      </w:r>
    </w:p>
    <w:p>
      <w:r>
        <w:rPr>
          <w:b/>
        </w:rPr>
        <w:t xml:space="preserve">Quelle: </w:t>
      </w:r>
      <w:r>
        <w:t>https://mcp.opencaselaw.ch/entscheid/ge_gerichte_ATAS_528_2008</w:t>
      </w:r>
    </w:p>
    <w:p>
      <w:r>
        <w:t>FR: GE_GERICHTE ATAS/528/2008 du 5 mai 2008</w:t>
      </w:r>
    </w:p>
    <w:p>
      <w:r>
        <w:t>IT: GE_GERICHTE ATAS/528/2008 del 5 maggio 2008</w:t>
      </w:r>
    </w:p>
    <w:p>
      <w:pPr>
        <w:pStyle w:val="Heading2"/>
      </w:pPr>
      <w:r>
        <w:t>Erwägungen</w:t>
      </w:r>
    </w:p>
    <w:p>
      <w:r>
        <w:rPr>
          <w:b/>
        </w:rPr>
        <w:t>E. 1</w:t>
      </w:r>
    </w:p>
    <w:p>
      <w:r>
        <w:t>Par arrêt incident du 2 juillet 2007 entré en force, le Tribunal de céans a constaté sa compétence, déclaré le recours recevable et jugé que l'événement du 20 décembre 2005 constituait un accident au sens de l'art. 4 LPGA.</w:t>
      </w:r>
    </w:p>
    <w:p>
      <w:r>
        <w:rPr>
          <w:b/>
        </w:rPr>
        <w:t>E. 2</w:t>
      </w:r>
    </w:p>
    <w:p>
      <w:r>
        <w:t>a) Est réputé accident toute atteinte dommageable, soudaine et involontaire, portée au corps humain par une cause extérieure extraordinaire qui compromet la santé physique, mentale ou psychique ou qui entraîne la mort (art. 4 LPGA). Selon l'art. 6 al. 1 LAA, si la présente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w:t>
      </w:r>
    </w:p>
    <w:p>
      <w:r>
        <w:t>A/1031/2007 - 7/9 - consid. 3.1, 406 consid. 4.3.1, 119 V 337 consid. 1, 118 V 289 consid. 1b et les références). c) Le droit à des prestations de l'assurance-accidents suppose en outre l'existence d'un lien de causalité adéquate entre l'accident et l'atteinte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ATFA du 14 février 2006, U 351/04). Le caractère adéquat du lien de causalité entre le fait constitutif d'un accident et la survenance d'un dommage dentaire ne peut être nié que s'il y a lieu d'admettre que la dent se fût brisée même en l'absence d'une sollicitation anormale (ATF 114 V 170, ATFA du 1er juillet 2003, U 288/02).</w:t>
      </w:r>
    </w:p>
    <w:p>
      <w:r>
        <w:rPr>
          <w:b/>
        </w:rPr>
        <w:t>E. 3</w:t>
      </w:r>
    </w:p>
    <w:p>
      <w:r>
        <w:t>a) Selon l'art. 61 let. c LPGA, le tribunal établit avec la collaboration des parties les faits déterminants pour la solution du litige; il administre les preuves nécessaires et les apprécie librement. Cette disposition de procédure reprend le texte de l'art. 108 al. 1 let. c LAA (abrogé au 31 décembre 2002), norme qui était l'expression du principe inquisitoire.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w:t>
      </w:r>
    </w:p>
    <w:p>
      <w:r>
        <w:t>A/1031/2007 - 8/9 -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4</w:t>
      </w:r>
    </w:p>
    <w:p>
      <w:r>
        <w:t>En l'espèce, l'expertise du Dr N__________ remplit les critères jurisprudentiels précités pour qu'il lui soit reconnu une pleine valeur probante. Selon ses conclusions, il y a lieu d'admettre que la fracture de la dent n° 23 de la recourante s'est produite à la suite de la mastication d'un résidu de noyau d'olive, soit qu'elle se trouve dans un rapport de causalité naturelle avec l'accident mais que l'état antérieur de cette dent, fragilisée petit à petit suite à d'importantes restaurations, exclut tout rapport de causalité adéquate, l'expert ayant précisé que la dent n° 23 était affaiblie d'une manière telle qu'elle était susceptible de subir une fracture à la moindre sollicitation un peu marquée (cf. à cet égard ATF 114 V 169).</w:t>
      </w:r>
    </w:p>
    <w:p>
      <w:r>
        <w:rPr>
          <w:b/>
        </w:rPr>
        <w:t>E. 5</w:t>
      </w:r>
    </w:p>
    <w:p>
      <w:r>
        <w:t>Au vu de ce qui précède, l'intimée, en l'absence d'un rapport de causalité adéquate entre l'accident et la lésion à la dent n° 23 de la recourante, n'est pas tenue à prestations pour les suites de cet accident. Le recours ne peut en conséquence qu'être rejeté.</w:t>
      </w:r>
    </w:p>
    <w:p>
      <w:r>
        <w:t>A/1031/2007 - 9/9 -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