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ATAS/527/2019 vom 6. Juni 2019</w:t>
      </w:r>
    </w:p>
    <w:p>
      <w:r>
        <w:t>GE Cour de justice, 2019-06-06, FR</w:t>
      </w:r>
    </w:p>
    <w:p>
      <w:r>
        <w:rPr>
          <w:b/>
        </w:rPr>
        <w:t xml:space="preserve">Quelle: </w:t>
      </w:r>
      <w:r>
        <w:t>https://mcp.opencaselaw.ch/entscheid/ge_gerichte_ATAS_527_2019</w:t>
      </w:r>
    </w:p>
    <w:p>
      <w:r>
        <w:t>FR: GE_GERICHTE ATAS/527/2019 du 6 juin 2019</w:t>
      </w:r>
    </w:p>
    <w:p>
      <w:r>
        <w:t>IT: GE_GERICHTE ATAS/527/2019 del 6 giugno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A/4651/2017 - 9/13 -</w:t>
      </w:r>
    </w:p>
    <w:p>
      <w:r>
        <w:rPr>
          <w:b/>
        </w:rPr>
        <w:t>E. 3</w:t>
      </w:r>
    </w:p>
    <w:p>
      <w:r>
        <w:t>Le délai de recours est de trente jours (art. 56 LPGA; art. 62 al. 1 de la de loi sur la procédure administrative du 12 septembre 1985 [LPA - E 5 10]). Interjeté dans la forme et le délai prévus par la loi, le recours est recevable.</w:t>
      </w:r>
    </w:p>
    <w:p>
      <w:r>
        <w:rPr>
          <w:b/>
        </w:rPr>
        <w:t>E. 4</w:t>
      </w:r>
    </w:p>
    <w:p>
      <w:r>
        <w:t>Le litige porte principalement sur le statut à reconnaître à l’assurée, dont découle son degré d’invalidité.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7</w:t>
      </w:r>
    </w:p>
    <w:p>
      <w:r>
        <w:t>a) Se pose en premier lieu la question de savoir quel statut il convient d'accorder à l'assurée. b) Tant lors de l'examen initial du droit à la rente qu'à l'occasion d'une révision de celle-ci (art. 17 LPGA), il faut examiner sous l'angle des art. 4 et 5 LAI quelle méthode d'évaluation de l'invalidité il convient d'appliquer (art. 28a LAI, en corrélation avec les art. 27 ss RAI). Pour évaluer le degré d'invalidité, il existe principalement trois méthodes (méthode générale de comparaison des revenus [depuis le 1er janvier 2008 : art. 28a al. 1 LAI en corrélation avec l'art. 16 LPGA], méthode spécifique [depuis le 1er janvier 2008 : art. 28a al. 2 LAI en corrélation avec les art. 27 RAI et 8 al. 3 LPGA], méthode mixte [depuis le 1er janvier 2008 : art. 28a al. 3 LAI en corrélation avec l'art. 27bis RAI, ainsi que les art. 16 LPGA et 28a al. 2 LAI en corrélation avec les art. 27 RAI et 8 al. 3 LPGA]), dont l'application dépend du statut du bénéficiaire</w:t>
      </w:r>
    </w:p>
    <w:p>
      <w:r>
        <w:t>A/4651/2017 - 10/13 - potentiel de la rente : assuré exerçant une activité lucrative à temps complet, assuré sans activité lucrative ou assuré exerçant une activité lucrative à temps partiel. c) On décidera que l'assuré appartient à l'une ou l'autre de ces trois catégories en fonction de ce qu'il aurait fait dans les mêmes circonstances si l'atteinte à la santé n'était pas survenue. La réponse apportée à cette question dépend de l'ensemble des circonstances personnelles, familiales, sociales, financières et professionnelles (ATF 130 V 393 consid. 3.3 p. 396 et les arrêts cités). Cette évaluation doit également prendre en considération la volonté hypothétique de l'assuré qui en tant que fait interne ne peut faire l'objet d'une administration directe de la preuve et doit en règle générale être déduite d'indices extérieurs (arrêt I 693/06 du 20 décembre 2006, consid. 4.1).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p. 337 et les références). d) C'est le lieu de rappeler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 Selon le principe de la "déclaration de la première heure" développé par la jurisprudence et applicable de manière générale en assurances sociales (arrêt non publié du Tribunal fédéral du 1er février 2010 9C_663/2009,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w:t>
      </w:r>
    </w:p>
    <w:p>
      <w:r>
        <w:rPr>
          <w:b/>
        </w:rPr>
        <w:t>E. 8</w:t>
      </w:r>
    </w:p>
    <w:p>
      <w:r>
        <w:t>En l'espèce, il est vrai que la recourante n’a pas cherché activement de place de travail depuis ses problèmes dorsaux, dont il a été jugé qu’ils ne pouvaient être qualifiés d’invalidants au sens de la loi. La recourante argue que le statut à lui reconnaître ne dépend pas de la mesure dans laquelle une activité aurait été exigible de sa part depuis 2005, mais de la question de savoir ce qu’elle aurait fait si son état de santé le lui avait permis. Or, bien qu’aucune invalidité ne lui ait été reconnue, ses médecins ont attesté de ses</w:t>
      </w:r>
    </w:p>
    <w:p>
      <w:r>
        <w:t>A/4651/2017 - 11/13 - problèmes dorsaux et ce sont eux qui l’ont amenée à renoncer à une activité. Son incapacité de travail depuis le 10 novembre 2003 est incontestable puisqu’attestée par plusieurs médecins qui l’ont suivie, même si cette atteinte ne s’est pas vu reconnaître de caractère invalidant au sens de l’assurance-invalidité. Il n’en demeure pas moins qu’un trouble somatoforme douloureux a été diagnostiqué. Comme rappelé supra, pour savoir si un assuré doit être considéré comme personne exerçant une activité à plein temps (méthode générale de comparaison des revenus) ou à temps partiel (méthode mixte), voire sans activité lucrative (méthode spécifique), il convient d’examiner ce que l’intéressé aurait fait - les circonstances étant par ailleurs restées les mêmes - si l'atteinte à la santé n'était pas survenue. Ce faisant, il faut tenir compte de la situation familiale, sociale et professionnelle, ainsi que des tâches d'éducation et de soins à l'égard des enfants, de l'âge, des aptitudes professionnelles, de la formation, des dispositions et des prédispositions de l’intéressé. Selon la pratique, la question du statut doit être tranchée sur la base de la situation telle qu'elle s'est développée jusqu'au moment où l'administration a pris sa décision. Pour admettre l'éventualité selon laquelle l'assuré aurait exercé une activité lucrative s'il avait été en bonne santé, il faut que la force probatoire reconnue habituellement en droit des assurances sociales atteigne le degré de la vraisemblance prépondérante (ATF 125 V 150 consid. 2c, 117 V 194 ss consid. 3b et les références citées; VSI 1997 p. 301 ss consid. 2b, 1996 p. 209 consid. 1c, et les références citées). En l’espèce, la recourante n’a pas varié dans ses déclarations. Depuis toujours, elle a affirmé que, sans atteinte à sa santé, elle aurait continué à travailler à plein temps, comme elle l’avait fait des années durant (près de vingt ans) et ce, alors même que ses enfants étaient encore en bas âge. Elle l’a réaffirmé lors de l’enquête ménagère et à plusieurs reprises depuis lors. L’atteinte à la santé dont elle souffre depuis 2003 est documentée. Un tableau de douleurs chroniques persistantes sans explication organique a été observé, qui, s’il ne s’est pas formellement vu reconnaître un caractère invalidant au sens de l’assurance-invalidité, n’en est pas moins présent. La réalité des douleurs ressenties par la recourante n’a pas été contestée par la décision de refus de prestations rendue initialement et confirmée par la suite, pas plus que le fait que c’étaient les douleurs en question qui avaient amené l’intéressée à réduire puis à cesser son travail. S’y ajoute le fait que, sans formation particulière, ni aide pour la réorienter professionnellement, la recourante ne pouvait guère espérer retrouver un poste sur le marché du travail. Dès lors, l'argumentation de l’intimé tirée de l'absence de recherches d'emploi de la part de l’assurée n'est pas susceptible de soulever un doute sur la vraisemblance des déclarations de cette dernière relatives à l'exercice d'une activité à temps plein au regard de sa situation familiale à l’époque de la décision litigieuse (cf. arrêt 9C_236/2013 du 23 octobre 2013 consid. 4.2).</w:t>
      </w:r>
    </w:p>
    <w:p>
      <w:r>
        <w:t>A/4651/2017 - 12/13 - Eu égard aux considérations qui précèdent, c’est bel et bien un statut d’active à 100% qui aurait dû être reconnu à l’assurée. Sur ce point, il y a lieu de lui donner raison.</w:t>
      </w:r>
    </w:p>
    <w:p>
      <w:r>
        <w:rPr>
          <w:b/>
        </w:rPr>
        <w:t>E. 9</w:t>
      </w:r>
    </w:p>
    <w:p>
      <w:r>
        <w:t>Reste à vérifier le degré d’invalidité qui peut être reconnu à l’assurée. 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10</w:t>
      </w:r>
    </w:p>
    <w:p>
      <w:r>
        <w:t>En l’espèce, il n’est pas contesté que, depuis son AVC, survenu en février 2016, clairement constitutif d’une aggravation, l’assurée est dans l’incapacité d’exercer la moindre activité lucrative. Dès lors, le degré d’invalidité se confond avec celui de la capacité de travail et le droit à une rente entière doit lui être reconnu à compter de février 2017. Le recours est admis et la décision litigieuse réformée en ce sens.</w:t>
      </w:r>
    </w:p>
    <w:p>
      <w:r>
        <w:t>A/4651/2017 - 13/13 -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