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ATAS/527/2017 vom 22. Juni 2017</w:t>
      </w:r>
    </w:p>
    <w:p>
      <w:r>
        <w:t>GE Cour de justice, 2017-06-22, FR</w:t>
      </w:r>
    </w:p>
    <w:p>
      <w:r>
        <w:rPr>
          <w:b/>
        </w:rPr>
        <w:t xml:space="preserve">Quelle: </w:t>
      </w:r>
      <w:r>
        <w:t>https://mcp.opencaselaw.ch/entscheid/ge_gerichte_ATAS_527_2017</w:t>
      </w:r>
    </w:p>
    <w:p>
      <w:r>
        <w:t>FR: GE_GERICHTE ATAS/527/2017 du 22 juin 2017</w:t>
      </w:r>
    </w:p>
    <w:p>
      <w:r>
        <w:t>IT: GE_GERICHTE ATAS/527/2017 del 22 giugno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Sont litigieuses les questions de savoir si l’assuré peut prétendre à une révision procédurale de la décision du 8 septembre 2005 et subsidiairement, s’il peut se prévaloir d’une rechute ou de séquelles tardives de l’accident du 22 juillet 2004.</w:t>
      </w:r>
    </w:p>
    <w:p>
      <w:r>
        <w:rPr>
          <w:b/>
        </w:rPr>
        <w:t>E. 4</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c.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w:t>
      </w:r>
    </w:p>
    <w:p>
      <w:r>
        <w:t>A/3669/2016 - 8/15 -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w:t>
      </w:r>
    </w:p>
    <w:p>
      <w:r>
        <w:t>A/3669/2016 - 9/15 - - le degré et la durée de l'incapacité de travail due aux lésions physiques. Tous ces critères ne doivent pas être réunis pour que la causalité adéquate soit admise. Dans l’éventualité d’un accident de gravité moyenne, le juge des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w:t>
      </w:r>
    </w:p>
    <w:p>
      <w:r>
        <w:rPr>
          <w:b/>
        </w:rPr>
        <w:t>E. 5</w:t>
      </w:r>
    </w:p>
    <w:p>
      <w:r>
        <w:t>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w:t>
      </w:r>
    </w:p>
    <w:p>
      <w:r>
        <w:t>A/3669/2016 - 10/15 -</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Même en admettant que la demande ait été déposée en temps utile, force serait de constater que l’assuré ne se prévaut pas de faits « nouveaux » au sens de la jurisprudence, soit de faits antérieurs à la décision entrée en force du 8 septembre 2005, mais dont il n’aurait pas eu connaissance à l’époque, malgré toute sa diligence. En effet, cette décision retenait qu’à compter du 29 novembre 2004, l’assuré ne présentait plus de séquelle organique d’origine accidentelle, et que les douleurs résiduelles dont il se plaignait, notamment au niveau cervical, étaient conditionnées par ses troubles psychiques (psychische Fehlverarbeitung ; Schmerzverarbeitungsstörung ; reaktive Depression), sans lien de causalité adéquate avec l’accident de vélo subi en juillet 2004. Or, les rapports auxquels le recourant se réfère se limitent pour l’essentiel à faire état de la même symptomatologie douloureuse et dépressive, dont la décision de 2005 a précisément retenu qu’elle n’était pas en relation de causalité avec l’accident. Pour le reste, ces documents font état d’une hernie discale qui semble lui avoir été diagnostiquée en novembre 2005, donc postérieurement à la décision précitée (cf. rapport du 23 octobre 2012). Au demeurant, aucun médecin ne suggère que cette hernie discale serait en lien de causalité avec l’accident. Partant, les rapports produits à l’appui de la demande de révision ne témoignent d’aucun fait « nouveau » important au sens de la jurisprudence, susceptible de remettre en question la décision entrée en force de 2005. Ces rapports ne contiennent pas non plus de constatation déterminante qui justifierait de trancher la question d’ordre juridique de la causalité adéquate d’une manière différente par rapport à la décision de 2005 : contrairement à ce que prétend le recourant, ils n’attestent ni d’une incapacité de travail durable, ni de douleurs physiques persistantes, étant rappelé que celles-ci sont de nature psychogène. En conséquence, même si la demande de révision avait été déposée dans le délai légal, elle aurait dû être rejetée.</w:t>
      </w:r>
    </w:p>
    <w:p>
      <w:r>
        <w:rPr>
          <w:b/>
        </w:rPr>
        <w:t>E. 11</w:t>
      </w:r>
    </w:p>
    <w:p>
      <w:r>
        <w:t>a. La décision attaquée nie également le droit du recourant à des prestations en lien avec une rechute ou des séquelles tardives de l’accident du 22 juillet 2004, ce que ce dernier conteste, en alléguant que « postérieurement à l’entrée en force de la décision, de nouveaux symptômes sont apparus en corrélation avec l’accident, à savoir la présence d’une hernie discale de plus en plus handicapante, [de] cervico- brachialgies et [d]’un syndrome douloureux myofascial sur dysbalance musculaire (…) ». b.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w:t>
      </w:r>
    </w:p>
    <w:p>
      <w:r>
        <w:t>A/3669/2016 - 13/15 - de l’événement accidentel ayant force de chose jugée (art. 11 de l’ordonnance sur l'assurance-accidents, du 20 décembre 1982 - OLAA ; RS 832.202). Cette manière de procéder correspond à la demande nouvelle en matière d’assurance-invalidité (RAMA 1994 n° U 189 p. 139).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c. En l’espèce, sous l’angle d’une éventuelle rechute ou de séquelles tardives, la chambre de céans rappelle que la chute à vélo qu’a subie le recourant le 22 juillet 2004 ne lui a occasionné qu’une lésion aux lèvres, des fractures de dents, une contusion du poignet gauche et une commotion cérébrale (cf. décision sur opposition du 8 septembre 2005). Or, les rapports qu’il invoque dans le cadre de la présente procédure ne démontrent aucune recrudescence des atteintes précitées, et ils ne contiennent aucune indication motivée qui permettrait de retenir, au degré de la vraisemblance prépondérante, l’existence d’un lien de causalité naturelle et adéquate entre l’accident de 2004 et la symptomatologie – état dépressif, syndrome douloureux myofascial, fourmillements du bras, cervico-brachialgies et hernie discale – dont il se plaint treize ans plus tard, ce qui suffit à exclure une rechute ou des séquelles tardives dont l’intimé aurait à répondre en vertu de l’art. 11 OLAA. En particulier, ses douleurs persistantes, que tous les rapports corrèlent à ses troubles psychiques, sont sans lien de causalité adéquate avec l’accident, comme l’a retenu à juste titre l’intimée sa décision entrée en force de 2005.</w:t>
      </w:r>
    </w:p>
    <w:p>
      <w:r>
        <w:t>A/3669/2016 - 14/15 -</w:t>
      </w:r>
    </w:p>
    <w:p>
      <w:r>
        <w:rPr>
          <w:b/>
        </w:rPr>
        <w:t>E. 12</w:t>
      </w:r>
    </w:p>
    <w:p>
      <w:r>
        <w:t>Enfin, le recourant requiert qu’une expertise pluridisciplinaire soit mise en œuvre afin de déterminer les répercussions de son état dépressif, de ses cervico- brachialgies et de son hernie discale sur sa capacité de travail. Faute de lien de causalité avec l’accident, ces atteintes ne sont toutefois pas à charge de l’intimée, indépendamment de la question de sa capacité de travail, qu’il est partant inutile d’instruire. Aussi, la conclusion tendant à la mise en œuvre d'une expertise doit-elle être rejetée, par appréciation anticipée des preuves.</w:t>
      </w:r>
    </w:p>
    <w:p>
      <w:r>
        <w:rPr>
          <w:b/>
        </w:rPr>
        <w:t>E. 13</w:t>
      </w:r>
    </w:p>
    <w:p>
      <w:r>
        <w:t>Mal fondé, le recours est rejeté.</w:t>
      </w:r>
    </w:p>
    <w:p>
      <w:r>
        <w:rPr>
          <w:b/>
        </w:rPr>
        <w:t>E. 14</w:t>
      </w:r>
    </w:p>
    <w:p>
      <w:r>
        <w:t>La procédure est gratuite (art. 89H al. 4 LPA).</w:t>
      </w:r>
    </w:p>
    <w:p>
      <w:r>
        <w:t>A/3669/2016 - 15/15 -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