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ATAS/526/2016 vom 23. Juni 2016</w:t>
      </w:r>
    </w:p>
    <w:p>
      <w:r>
        <w:t>GE Cour de justice, 2016-06-23, FR</w:t>
      </w:r>
    </w:p>
    <w:p>
      <w:r>
        <w:rPr>
          <w:b/>
        </w:rPr>
        <w:t xml:space="preserve">Quelle: </w:t>
      </w:r>
      <w:r>
        <w:t>https://mcp.opencaselaw.ch/entscheid/ge_gerichte_ATAS_526_2016</w:t>
      </w:r>
    </w:p>
    <w:p>
      <w:r>
        <w:t>FR: GE_GERICHTE ATAS/526/2016 du 23 juin 2016</w:t>
      </w:r>
    </w:p>
    <w:p>
      <w:r>
        <w:t>IT: GE_GERICHTE ATAS/526/2016 del 23 giugno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la forme et le délai prévus par la loi, le recours est recevable, en vertu des art. 56ss LPGA.</w:t>
      </w:r>
    </w:p>
    <w:p>
      <w:r>
        <w:rPr>
          <w:b/>
        </w:rPr>
        <w:t>E. 5</w:t>
      </w:r>
    </w:p>
    <w:p>
      <w:r>
        <w:t>Le litige porte sur le droit du recourant à des prestations de l’assurance-invalidité, en particulier sous forme de mesures professionnelles.</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w:t>
      </w:r>
    </w:p>
    <w:p>
      <w:r>
        <w:t>A/4445/2015 - 8/14 -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t>A/4445/2015 - 9/14 -</w:t>
      </w:r>
    </w:p>
    <w:p>
      <w:r>
        <w:rPr>
          <w:b/>
        </w:rPr>
        <w:t>E. 8</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9</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A/4445/2015 - 10/14 -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11</w:t>
      </w:r>
    </w:p>
    <w:p>
      <w:r>
        <w:t>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12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A/4445/2015 - 11/14 - cause les conclusions de l'expert (arrêt du Tribunal fédéral 9C_369/2008 du 5 mars 2009 consid. 2.2).</w:t>
      </w:r>
    </w:p>
    <w:p>
      <w:r>
        <w:rPr>
          <w:b/>
        </w:rPr>
        <w:t>E. 13</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t>A/4445/2015 - 12/14 -</w:t>
      </w:r>
    </w:p>
    <w:p>
      <w:r>
        <w:rPr>
          <w:b/>
        </w:rPr>
        <w:t>E. 14</w:t>
      </w:r>
    </w:p>
    <w:p>
      <w:r>
        <w:t>En l’occurrence, les atteintes à la santé du recourant sont clairement établies et non contestées : il s’agit principalement de lombosciatalgies droites chroniques sur discopathies dégénératives lombaires. Il n’est pas non plus contesté que la capacité du recourant à exercer son activité habituelle est désormais nulle. Est seule litigieuse sa capacité résiduelle de travail dans une activité adaptée, sur la description de laquelle les médecins sont d’accord : elle doit respecter consignes d’épargne du dos. En juin 2014, l’expert mandaté par l’assureur perte de gain considérait que l’atteinte ne devrait pas empêcher l’assuré d’exercer son activité habituelle. Il ne s’est en revanche pas exprimé sur sa capacité résiduelle de travail dans une activité adaptée. En octobre 2014, le Dr C______ préconisait une reprise de l’activité habituelle progressive, sans se prononcer lui non plus sur la capacité résiduelle de travail de l’assuré dans une activité adaptée. Il s’est avéré que la reprise du travail préconisée s’est soldée par un échec, durant l’automne 2014, de même que celle tentée quelque temps plus tard, dans le cadre de la mesure de maintien au poste de travail, début 2015. En février 2015, le médecin traitant du recourant a estimé que son patient pourrait exercer une activité adaptée à un taux situé entre 50% et 100%, sans autres précisions. En juin 2015, le Dr C______ a conclu à une capacité de travail de 50% dès septembre 2015 dans une activité adaptée. Pour sa part, le SMR a évalué la capacité résiduelle de travail de l’assuré à 100%, sans justifier sa position ni les raisons pour lesquelles il s’écartait des estimations des médecins-traitants. Or, les observations de la Fondation PRO tendent à démontrer que, même dans une activité adaptée et en faisant preuve de la meilleure volonté du monde, le rendement du recourant est amoindri, sans que l’on sache exactement dans quelle mesure. On relèvera d’ailleurs qu’à l’issue de son observation, la Fondation PRO a préconisé une réévaluation médicale. Eu égard à ces éléments, il apparaît que la situation n’a pas été suffisamment investiguée. En l’état, la Cour de céans ne dispose pas de suffisamment d’éléments pour se prononcer avec certitude sur la capacité résiduelle de travail du recourant dans une activité adaptée. Si les atteintes physiques ne sont pas sujettes à caution, leur impact en termes de rendement et de taux d’occupation ne sont pas suffisamment éclaircies. En effet, les premiers médecins - en particulier l’expert mandaté par l’assurance perte de gain - ne se sont prononcés que par rapport à l’activité habituelle.</w:t>
      </w:r>
    </w:p>
    <w:p>
      <w:r>
        <w:t>A/4445/2015 - 13/14 - Ceux qui se sont prononcés par la suite n’ont pas motivé leur position, en particulier, ils n’ont pas discuté leur position par rapport aux observations concrètes de la Fondation PRO. Le SMR n’a donné aucun élément justifiant ses conclusions à un 100% de capacité « depuis toujours ». Une expertise complémentaire, par exemple auprès d’un centre tel que la Clinique de réadaptation de Sion s’avère donc nécessaire. Eu égard à ce qui précède, le recours est partiellement admis, la décision litigieuse annulée et la cause renvoyée à l’intimé pour instruction complémentaire, sur la question de la capacité résiduelle de travail depuis juillet 2014 et nouvelle décision.</w:t>
      </w:r>
    </w:p>
    <w:p>
      <w:r>
        <w:t>A/4445/2015 - 14/14 -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