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ATAS/526/2012 vom 19. April 2012</w:t>
      </w:r>
    </w:p>
    <w:p>
      <w:r>
        <w:t>GE Cour de justice, 2012-04-19, FR</w:t>
      </w:r>
    </w:p>
    <w:p>
      <w:r>
        <w:rPr>
          <w:b/>
        </w:rPr>
        <w:t xml:space="preserve">Quelle: </w:t>
      </w:r>
      <w:r>
        <w:t>https://mcp.opencaselaw.ch/entscheid/ge_gerichte_ATAS_526_2012</w:t>
      </w:r>
    </w:p>
    <w:p>
      <w:r>
        <w:t>FR: GE_GERICHTE ATAS/526/2012 du 19 avril 2012</w:t>
      </w:r>
    </w:p>
    <w:p>
      <w:r>
        <w:t>IT: GE_GERICHTE ATAS/526/2012 del 19 aprile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 tations prévues à l’art. 56 de la loi fédérale sur la partie générale du droit des assu- rances sociales, du 6 octobre 2000 (LPGA; RS 830.1) relatives à la loi fédérale sur l'assurance-accidents, du 20 mars 1981 (LAA; RS 832.20). La compétence de la Cour de céans pour juger du cas d’espèce est ainsi établie.</w:t>
      </w:r>
    </w:p>
    <w:p>
      <w:r>
        <w:rPr>
          <w:b/>
        </w:rPr>
        <w:t>E. 2</w:t>
      </w:r>
    </w:p>
    <w:p>
      <w:r>
        <w:t>A teneur de l'art. 1 al. 1 LAA, les dispositions de la LPGA s'appliquent à l'assu- 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 fication du point de vue de leur contenu, de sorte que la jurisprudence développée à leur propos peut être reprise et appliquée (ATF 130 V 345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degré d’invalidité du recourant et sur celui de son indemnité pour atteinte à l’intégrité.</w:t>
      </w:r>
    </w:p>
    <w:p>
      <w:r>
        <w:rPr>
          <w:b/>
        </w:rPr>
        <w:t>E. 5</w:t>
      </w:r>
    </w:p>
    <w:p>
      <w:r>
        <w:t>a) Selon l'art. 18 al. 1er LAA, si l’assuré est invalide (art. 8 LPGA) à 10 % au moins par suite d’un accident, il a droit à une rente d’invalidité. Est réputée invalidité, l'incapacité de gain totale ou partielle présumée permanente ou de longue durée, ré- 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 sique ou mentale et qu'elle persiste après les traitements et les mesures de réadapta- tion exigibles (art. 7 LPGA). b) Pour pouvoir calculer le degré d'invalidité, l'administration ou l'instance de re- cours a besoin de documents que le médecin ou d'autres spécialistes doivent lui fournir. La tâche du médecin consiste à porter un jugement sur l'état de santé et à indiquer dans quelle mesure et pour quelles activités l'assuré est incapable de tra- vailler. En outre, les données médicales constituent un élément utile pour détermi- ner quels travaux on peut encore, raisonnablement, exiger de l'assuré (ATF 125 V 256, consid. 4; ATF 115 V 133, consid. 2).</w:t>
      </w:r>
    </w:p>
    <w:p>
      <w:r>
        <w:t>A/1924/2011 - 10/19 -</w:t>
      </w:r>
    </w:p>
    <w:p>
      <w:r>
        <w:rPr>
          <w:b/>
        </w:rPr>
        <w:t>E. 6</w:t>
      </w:r>
    </w:p>
    <w:p>
      <w:r>
        <w:t>a) Selon le principe de libre appréciation des preuves, pleinement valable en procé- dure judiciaire de recours dans le domaine des assurances sociales (cf. art. 61 let. c LPGA), le juge n’est pas lié par des règles formelles, mais doit examiner de ma- nière objective tous les moyens de preuve, quelle qu’en soit la provenance, puis dé- cider si les documents à disposition permettent de porter un jugement valable sur le droit litigieux. En cas de rapports médicaux contradictoires, le juge ne peut trancher l’affaire sans apprécier l’ensemble des preuves et sans indiquer les raisons pour les- quelles il se fonde sur une opinion médicale et non pas sur une autre. L’élément dé- terminant pour la valeur probante d’un rapport médical n’est ni son origine, ni sa désignation, mais son contenu. À cet égard, il convient que les points litigieux im- portants aient fait l’objet d’une étude fouillée, que le rapport se fonde sur des exa- 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Sans remettre en cause le principe de la libre appréciation des preuves, le Tribu- nal fédéral a posé des lignes directrices en ce qui concerne la manière d'apprécier certains types d'expertises ou de rapports médicaux. Ainsi, lorsqu'au stade de la procédure administrative, une expertise confiée à un médecin indépendant est éta- blie par un spécialiste reconnu, sur la base d'observations approfondies et d'investi- 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cc). On ajoutera qu'en cas de divergence d’opinion entre experts et médecins traitants, il n'est pas, de manière générale, nécessaire de mettre en œuvre une nouvelle exper- 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 tants ont une opinion contradictoire. Il n'en va différemment que si ces médecins traitants font état d'éléments objectivement vérifiables ayant été ignorés dans le cadre de l'expertise et qui sont suffisamment pertinents pour remettre en cause les</w:t>
      </w:r>
    </w:p>
    <w:p>
      <w:r>
        <w:t>A/1924/2011 - 11/19 - conclusions de l'expert (ATF non publié 9C_369/2008 du 5 mars 2009, consid. 2.2).</w:t>
      </w:r>
    </w:p>
    <w:p>
      <w:r>
        <w:rPr>
          <w:b/>
        </w:rPr>
        <w:t>E. 7</w:t>
      </w:r>
    </w:p>
    <w:p>
      <w:r>
        <w:t>Le recourant reproche à l’intimée de n’avoir pas tenu compte des nuances apportées par le Dr D__________ à l’appréciation de sa capacité de travail dans une activité adaptée. L’intimée invoque quant à elle l’avis du Dr A___________ sur le rapport duquel elle s’est fondée pour rendre sa décision. a) Dans son appréciation du 29 octobre 2009, le Dr D__________ indique que l’assuré reste algique au point que la reprise d’une quelconque activité profession- nelle semble - à l’entendre - impossible. Il conclut de la manière suivante s’agissant de la capacité de travail : « en théorie, la situation actuelle permettrait une reprise du travail à 100%, mais il y a ces douleurs difficiles à expliquer, qui apparaissent au 1er plan et l’empêchent d’envisager toute possibilité de travail. Il faudra donc s’orienter vers une réorientation professionnelle qu’il faudrait débuter le plus rapide- ment possible. Il serait utile qu’un médecin du travail évalue la situation du patient ». En d’autres termes, le Dr D__________ suggère une réorientation professionnelle. Contrairement à ce que soutient le recourant, l’appréciation du Dr D__________ ne s’oppose pas à celle du Dr A___________ dès lors que ces deux praticiens suggè- rent la même chose : une réorientation professionnelle. En effet, le Dr A___________ considère que le recourant est apte à travailler à temps complet dans une activité adaptée à ses limitations fonctionnelles. Il préconise, en d’autres termes, une réorientation professionnelle vers une activité légère, sédentaire et s’exerçant principalement en position assise. b) On ajoutera que le rapport du Dr A___________ du 8 mars 2010 répond aux exigences posées par la jurisprudence pour se voir reconnaître une pleine valeur probante. Il se fonde en effet sur l’étude du dossier médical du recourant, tient compte des plaintes subjectives de celui-ci, a été établi après un examen clinique et ses conclusions sont motivées. Partant, il n’existe aucun motif de s’écarter de l’appréciation de ce médecin. c) Quant aux avis du Dr F__________ des 11 novembre 2010, 20 juin 2011 et</w:t>
      </w:r>
    </w:p>
    <w:p>
      <w:r>
        <w:rPr>
          <w:b/>
        </w:rPr>
        <w:t>E. 12</w:t>
      </w:r>
    </w:p>
    <w:p>
      <w:r>
        <w:t>Selon la réglementation légale et la jurisprudence, les assureurs sociaux qui obtien- nent gain de cause devant une juridiction de première instance n’ont pas droit à une indemnité de dépens, sauf en cas de recours téméraire ou interjeté à la légère par l’assuré, ce qui n’est pas le cas en l’espèce. Pour le surplus, la procédure est gratuite (art. 61 let. a LPGA).</w:t>
      </w:r>
    </w:p>
    <w:p>
      <w:r>
        <w:t>A/1924/2011 - 19/19 -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