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ATAS/526/2010 vom 11. Mai 2010</w:t>
      </w:r>
    </w:p>
    <w:p>
      <w:r>
        <w:t>GE Cour de justice, 2010-05-11, FR</w:t>
      </w:r>
    </w:p>
    <w:p>
      <w:r>
        <w:rPr>
          <w:b/>
        </w:rPr>
        <w:t xml:space="preserve">Quelle: </w:t>
      </w:r>
      <w:r>
        <w:t>https://mcp.opencaselaw.ch/entscheid/ge_gerichte_ATAS_526_2010</w:t>
      </w:r>
    </w:p>
    <w:p>
      <w:r>
        <w:t>FR: GE_GERICHTE ATAS/526/2010 du 11 mai 2010</w:t>
      </w:r>
    </w:p>
    <w:p>
      <w:r>
        <w:t>IT: GE_GERICHTE ATAS/526/2010 del 11 maggio 2010</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(LPC). Par ailleurs, l'article 43 de la loi genevoise du 25 octobre 1968 sur les prestations cantonales complémentaires à l'assurance-vieillesse et survivants et à l'assurance- invalidité (LPCC) prévoit notamment, conformément à l'art. 56V al. 2 let. a LOJ, que les décisions sur opposition prises en application de la législation cantonale peuvent faire l'objet d'un recours auprès du Tribunal cantonal des assurances sociales. Sa compétence pour juger du cas d’espèce est ainsi établie.</w:t>
      </w:r>
    </w:p>
    <w:p>
      <w:r>
        <w:rPr>
          <w:b/>
        </w:rPr>
        <w:t>E. 2</w:t>
      </w:r>
    </w:p>
    <w:p>
      <w:r>
        <w:t>A teneur de l'art. 1er al. 1 LPC, les dispositions de la LPGA s'appliquent aux prestations complémentaires fédérales, à moins que la LPC n'y déroge expressément. La LPC et ses dispositions d'exécutions fédérales et cantonales, ainsi que la LPGA et ses dispositions d'exécution, sont applicables aux prestations complémentaires</w:t>
      </w:r>
    </w:p>
    <w:p>
      <w:r>
        <w:t>A/169/2010 - 4/8 - cantonales par analogie, en cas de silence de la législation cantonale (art. 1A LPCC; art. 1er al. 1 LPC).</w:t>
      </w:r>
    </w:p>
    <w:p>
      <w:r>
        <w:rPr>
          <w:b/>
        </w:rPr>
        <w:t>E. 3</w:t>
      </w:r>
    </w:p>
    <w:p>
      <w:r>
        <w:t>Déposé dans les forme et délais légaux (art. 60 al. 1er LPGA et 43 LPCC), le recours est recevable.</w:t>
      </w:r>
    </w:p>
    <w:p>
      <w:r>
        <w:rPr>
          <w:b/>
        </w:rPr>
        <w:t>E. 4</w:t>
      </w:r>
    </w:p>
    <w:p>
      <w:r>
        <w:t>Le litige a pour objet de déterminer si le calcul opéré par le SPC est erroné.</w:t>
      </w:r>
    </w:p>
    <w:p>
      <w:r>
        <w:rPr>
          <w:b/>
        </w:rPr>
        <w:t>E. 5</w:t>
      </w:r>
    </w:p>
    <w:p>
      <w:r>
        <w:t>Selon l'art. 4 al. 1 LPC, les personnes qui ont leur domicile et leur résidence habituelle en Suisse ont droit à des prestations complémentaires notamment si elles perçoivent une rente de vieillesse de l'assurance-vieillesse et survivants (AVS), ont droit ou auraient droit à une rente de l'AI (lit. a, c et d). Le montant de la prestation complémentaire annuelle correspond alors à la part des dépenses reconnues qui excède les revenus déterminants (art. 9 al. 1 LPC).</w:t>
      </w:r>
    </w:p>
    <w:p>
      <w:r>
        <w:t>Selon l’art. 11 LPC, les revenus déterminants comprennent notamment les ressources en espèces ou en nature provenant de l'exercice d'une activité lucrative (let. a), le produit de la fortune mobilière ou immobilière (let. b), un dixième de la fortune nette pour les bénéficiaires de rentes de vieillesse, dans la mesure où elle dépasse 25'000 fr. pour les personnes seules et 40'000 fr. pour les couples (let c), les rentes, pensions et autres prestations périodiques, y compris les rentes de l’assurance-vieillesse et survivants et de l’assurance-invalidité (let. d), les ressources et la fortune dont un ayant droit s'est dessaisi (let. g). A teneur de l'art. 5A LPCC, celui qui fait valoir son droit à des prestations doit fournir gratuitement tous les renseignements nécessaires pour établir ce droit et fixer les prestations dues.</w:t>
      </w:r>
    </w:p>
    <w:p>
      <w:r>
        <w:rPr>
          <w:b/>
        </w:rPr>
        <w:t>E. 6</w:t>
      </w:r>
    </w:p>
    <w:p>
      <w:r>
        <w:t>Selon l'art. 23 al. 2 LPC, les organes cantonaux d'exécution peuvent retenir les revenus déterminants et la fortune établis par la dernière taxation fiscale pour les assurés qui y sont soumis, si aucune modification de la situation économique de celui-ci n'est intervenue entre-temps. Si l'assuré peut rendre vraisemblable que, durant la période pour laquelle il demande la prestation, ses revenus déterminants seront notablement inférieurs à ceux qu'il avait obtenus sur la base de la taxation, ce sont les revenus déterminants probables, convertis en revenu annuel et la fortune existant à la date à laquelle le droit à la prestation complémentaire annuelle prend naissance qui sont déterminants (al. 4). L'art. 9 al. 1 LPCC prévoit que pour la fixation de la prestation sont déterminantes, les rentes, pensions et autres prestations périodiques de l'année civile en cours (lit. a), la fortune au 1er janvier de l'année pour laquelle la prestation est demandée (lit. b). En cas de modification importante des ressources ou de la fortune du bénéficiaire, la prestation est fixée conformément à la situation nouvelle (al. 3).</w:t>
      </w:r>
    </w:p>
    <w:p>
      <w:r>
        <w:t>A/169/2010 - 5/8 - Les parties ont l'obligation d'apporter, dans la mesure du possible, les preuves commandées par la nature du litige et des faits invoqués, faute de quoi elles risquent de devoir supporter les conséquences de l'absence de preuves, l'assureur social pouvant être amené à statuer en l'état, sur la base des preuves disponibles (ATF 125 V 195 consid. 2 et les références). Ainsi, selon la jurisprudence, les diminutions de fortune demeurées inexpliquées par celui qui prétend une prestation complémentaire, en dépit de son devoir de collaborer à l'instruction de la cause, peuvent être tenues pour des dessaisissements de fortune au sens de l'art. 3c al. 1 let. g LPC (VSI 1995 p. 176 consid. 2b ; VSI 1994 p. 226 ss. consid. 4a et 4b). Cependant, l’administration devra compléter elle-même l'instruction de la cause s'il lui est possible d'élucider les faits sans complications spéciales, malgré l'absence de collaboration d'une partie (cf. ATF 117 V 263 ss. consid. 3b ; 108 V 231 ss.; arrêt B. du 14 janvier 2003, en la cause K 123/01, résumé dans Responsabilité et assurance, HAVS/REAS 2003, p. 156 ainsi que l'arrêt non publié H. du 31 juillet 2003, en la cause P 88/02 consid. 2 et 3).</w:t>
      </w:r>
    </w:p>
    <w:p>
      <w:r>
        <w:rPr>
          <w:b/>
        </w:rPr>
        <w:t>E. 7</w:t>
      </w:r>
    </w:p>
    <w:p>
      <w:r>
        <w:t>Dans un premier moyen, l'assuré fait grief à l'intimé d'avoir retenu à titre de deuxième pilier et de fortune les montants mentionnés dans sa déclaration fiscale 2008, alors que la situation au moment de la décision était différente. Il a produit à cet effet un relevé de sa caisse de pension daté de septembre 2009, faisant état du versement d'une rente mensuelle à titre de prévoyance professionnelle de 2'631.70 fr., ce qui représente un montant de 31'580.40 fr. annualisé.</w:t>
      </w:r>
    </w:p>
    <w:p>
      <w:r>
        <w:t>Le Tribunal de céans constate qu'il existe certes une différence entre ce montant et celui de 35'509.- fr. pris en compte par le SPC sur la base de la déclaration fiscale 2008 de l'assuré mais que cela ne suffirait cependant pas à modifier la décision litigieuse.</w:t>
      </w:r>
    </w:p>
    <w:p>
      <w:r>
        <w:t>Les divers relevés bancaires produits par l'assuré attestent que la fortune du compte 92-933146-8 est effectivement passée de 30'505.65 fr. en décembre 2008 à 4'505.65 fr. en octobre 2009. Force est toutefois de constater que cette diminution résulte des mouvements opérés par l'assuré lui-même entre ses divers comptes et qu'il n'y a dès lors pas motif de requérir de l'intimé une reprise des calculs sur ce point.</w:t>
      </w:r>
    </w:p>
    <w:p>
      <w:r>
        <w:rPr>
          <w:b/>
        </w:rPr>
        <w:t>E. 8</w:t>
      </w:r>
    </w:p>
    <w:p>
      <w:r>
        <w:t>L'assuré reproche au SPC de ne pas avoir pris en compte son état de santé et celui des membres de sa famille. L'art. 30 LAI prévoit que l'assuré cesse d'avoir droit à la rente d'invalidité dès qu'il peut prétendre la rente de vieillesse de l'AVS ou s'il décède. Selon l'article 35 LPCC, la prestation d'un bénéficiaire d'une prestation d'invalidité qui atteint l'âge lui permettant d'obtenir une prestation de personne âgée est calculée selon les normes prévues pour les invalides conformément à l'article 3 al. 2 let. c.</w:t>
      </w:r>
    </w:p>
    <w:p>
      <w:r>
        <w:t>A/169/2010 - 6/8 - En l'occurrence, il ressort du courrier de l'OAI que l'assuré n'a jamais bénéficié d'aucune prestations AI et qu'au moment du dépôt de sa demande de prestations complémentaires, il était au bénéfice d'une rente AVS. Son état de santé ne peut ainsi être pris en compte par le SPC. La question de savoir si l'état de santé de l'épouse de l'assuré lui permet ou non de travailler à 100% a déjà été examinée par le Tribunal de céans dans l'ATAS/1336/2008, lequel est entré en force. Selon la jurisprudence, il y a autorité de la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"ne bis in dem"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oeuvre indéfiniment (MOOR, Droit administratif, volume II, Berne 2002, p. 324). L'autorité de la chose jugée ne s'attache qu'au seul dispositif de la décision ou du jugement et non à ses motifs (ATF 115 V 418 consid. 3b/aa, 113 V 159).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ATFA non publié du 6 décembre 2006, I 857/05, consid. 2.1). Selon l'article 17 al. 2 LPGA toute prestation durable accordée en vertu d'une décision entrée en force est, d'office ou sur demande, augmentée ou réduite en conséquence, ou encore supprimée si les circonstances dont dépendait son octroi changent notablement. En l'espèce, l'assuré n'a produit aucune pièce nouvelle qui permettrait d'apprécier différemment l'état de santé de son épouse. Seule la question du montant du salaire retenu par le SPC pourrait éventuellement être revue puisqu'elle n'a pas été tranchée dans la procédure précédente. Le Tribunal de céans constate cependant que même si l'intimé avait tenu compte du salaire effectivement perçu par l'épouse de l'assuré, cela ne suffirait pas à modifier la décision.</w:t>
      </w:r>
    </w:p>
    <w:p>
      <w:r>
        <w:rPr>
          <w:b/>
        </w:rPr>
        <w:t>E. 9</w:t>
      </w:r>
    </w:p>
    <w:p>
      <w:r>
        <w:t>Les dépenses à prendre en compte dans le calcul des prestations complémentaires sont mentionnées à l'art. 10 LPC. Les primes d'assurance-maladie ne sont ainsi pas</w:t>
      </w:r>
    </w:p>
    <w:p>
      <w:r>
        <w:t>A/169/2010 - 7/8 - reconnues comme des dépenses (al. 3 lit. c) et seules les pensions alimentaires versées en vertu du droit de la famille sont considérées comme telles (lit. e). La question de savoir si la dette alimentaire de l'assuré à l'égard de sa mère est une dépense au sens de la LPC et de la LPCC a également déjà été tranchée par la négative par le Tribunal de céans dans l'ATAS/1336/2008. Vu l'autorité de chose jugée, il n'y a pas lieu d'y revenir.</w:t>
      </w:r>
    </w:p>
    <w:p>
      <w:r>
        <w:t>A/169/2010 - 8/8 -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