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ATAS/526/2009 vom 23. Januar 2009</w:t>
      </w:r>
    </w:p>
    <w:p>
      <w:r>
        <w:t>GE Cour de justice, 2009-01-23, FR</w:t>
      </w:r>
    </w:p>
    <w:p>
      <w:r>
        <w:rPr>
          <w:b/>
        </w:rPr>
        <w:t xml:space="preserve">Quelle: </w:t>
      </w:r>
      <w:r>
        <w:t>https://mcp.opencaselaw.ch/entscheid/ge_gerichte_ATAS_526_2009</w:t>
      </w:r>
    </w:p>
    <w:p>
      <w:r>
        <w:t>FR: GE_GERICHTE ATAS/526/2009 du 23 janvier 2009</w:t>
      </w:r>
    </w:p>
    <w:p>
      <w:r>
        <w:t>IT: GE_GERICHTE ATAS/526/2009 del 23 gennaio 2009</w:t>
      </w:r>
    </w:p>
    <w:p>
      <w:pPr>
        <w:pStyle w:val="Heading2"/>
      </w:pPr>
      <w:r>
        <w:t>Erwägungen</w:t>
      </w:r>
    </w:p>
    <w:p>
      <w:r>
        <w:rPr>
          <w:b/>
        </w:rPr>
        <w:t>E. 1</w:t>
      </w:r>
    </w:p>
    <w:p>
      <w:r>
        <w:t>Conformément à l'art. 56V al. 1 let. a ch. 2 de la loi genevoise sur l'organisation judiciaire du 22 novembre 1941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entrée en vigueur le 1er janvier 2003, est applicable au cas d'espèce.</w:t>
      </w:r>
    </w:p>
    <w:p>
      <w:r>
        <w:rPr>
          <w:b/>
        </w:rPr>
        <w:t>E. 3</w:t>
      </w:r>
    </w:p>
    <w:p>
      <w:r>
        <w:t>Il s'agit en l'occurrence d'examiner la recevabilité du recours. L'art. 60 al. 1 LPGA prévoit un délai de recours de trente jours dès la notification de la décision attaquée. En vertu de l’art. 40 al. 1 LPGA, le délai légal ne peut être prolongé. En effet, la sécurité du droit exige que certains actes ne puissent plus être accomplis passé un certain laps de temps : un terme est ainsi mis aux possibilités de contestation, de</w:t>
      </w:r>
    </w:p>
    <w:p>
      <w:r>
        <w:t>A/944/2009 - 3/4 -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n°704 p. 153; KÖLZ/HÄNER, Verwaltungsverfahren und Verwaltungsrechtspflege des Bundes, 2ème éd., n°341 p. 123). En l'occurrence, il n'est pas contesté que le recours a été interjeté après le délai de 30 jours dès sa réception, comme l'a elle-même reconnu la recourante dans son acte de recours et dans ses observations du 23 mars 2009.</w:t>
      </w:r>
    </w:p>
    <w:p>
      <w:r>
        <w:rPr>
          <w:b/>
        </w:rPr>
        <w:t>E. 4</w:t>
      </w:r>
    </w:p>
    <w:p>
      <w:r>
        <w:t>Reste à examiner si une restitution de délai peut être accordée. Tel peut être le cas, de manière exceptionnelle, à condition que le requérant ait été empêché, sans sa faute, d’agir dans le délai fixé (art. 41 al. 1 LPGA) et pour autant qu’une demande de restitution motivée, indiquant la nature de l’empêchement, soit présentée dans les 30 jours à compter de celui où il a cessé. Il s’agit-là de dispositions impératives auxquelles il ne peut être dérogé (Jurisprudence des autorités administratives de la Confédération [JAAC] 60/1996, consid. 5.4, p. 367 ; ATF 119 II 87 consid. 2a; ATF 112 V 256 consid. 2a). En l'espèce, une restitution du délai de recours au sens de l'art. 41 al. 1 LPGA ne se justifie pas. En effet, l’on ne peut considérer que la recourante a été empêchée sans sa faute d’agir dans le délai fixé, le manque de connaissances en français n'étant pas considéré comme un motif valable de restitution. Le recourante aurait d'ailleurs pu s'adresser dans les 30 jours à un organisme caritatif doté d'un service juridique, par exemple. En l'absence de motif valable de restitution de délai, le recours doit être déclaré irrecevable pour cause de tardiveté.</w:t>
      </w:r>
    </w:p>
    <w:p>
      <w:r>
        <w:t>A/944/2009 - 4/4 -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