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ATAS/524/2018 vom 12. Juni 2018</w:t>
      </w:r>
    </w:p>
    <w:p>
      <w:r>
        <w:t>GE Cour de justice, 2018-06-12, FR</w:t>
      </w:r>
    </w:p>
    <w:p>
      <w:r>
        <w:rPr>
          <w:b/>
        </w:rPr>
        <w:t xml:space="preserve">Quelle: </w:t>
      </w:r>
      <w:r>
        <w:t>https://mcp.opencaselaw.ch/entscheid/ge_gerichte_ATAS_524_2018</w:t>
      </w:r>
    </w:p>
    <w:p>
      <w:r>
        <w:t>FR: GE_GERICHTE ATAS/524/2018 du 12 juin 2018</w:t>
      </w:r>
    </w:p>
    <w:p>
      <w:r>
        <w:t>IT: GE_GERICHTE ATAS/524/2018 del 12 giugno 2018</w:t>
      </w:r>
    </w:p>
    <w:p>
      <w:pPr>
        <w:pStyle w:val="Heading2"/>
      </w:pPr>
      <w:r>
        <w:t>Erwägungen</w:t>
      </w:r>
    </w:p>
    <w:p>
      <w:r>
        <w:rPr>
          <w:b/>
        </w:rPr>
        <w:t>E. 6</w:t>
      </w:r>
    </w:p>
    <w:p>
      <w:r>
        <w:t>L’intéressé a formé opposition le 9 janvier 2018. Il admet n’avoir pas déclaré le changement d’activité de son épouse, mais fait valoir trois motifs : - le doute sur la durée du contrat d’engagement compte tenu du fait que son épouse n’a aucune formation de femme de chambre. - les revenus réalisés par son épouse étaient déclarés fiscalement, de sorte qu’il avait pensé à une révision automatique annuelle après chaque déclaration fiscale. - « mon épouse ne sachant pas gérer les affaires administratives de la famille, j’étais obligé de m’en occuper seul. Malheureusement à mon âge, cela s’avérait peu aisé à cause de problèmes de santé qui m’ont valu plusieurs hospitalisations et entraîné certains oublis ».</w:t>
      </w:r>
    </w:p>
    <w:p>
      <w:r>
        <w:rPr>
          <w:b/>
        </w:rPr>
        <w:t>E. 7</w:t>
      </w:r>
    </w:p>
    <w:p>
      <w:r>
        <w:t>Par décision du 6 mars 2018, le SPC a rejeté l’opposition. Il constate que la décision du 13 octobre 2017 faisait suite à une violation de l’obligation d’annoncer des éléments de ressources, en l’occurrence, le gain d’activité lucrative de l’épouse, dont il était aisément reconnaissable qu’il aurait une influence sur le droit aux prestations sociales. Il considère dès lors que, dans un tel contexte et conformément à la jurisprudence fédérale rendue en la matière, la bonne foi, au sens juridique du terme, doit être d’emblée exclue. Il relève enfin que la négligence doit, en l’occurrence, être considérée comme grave également, au vu du montant important généré en restitution.</w:t>
      </w:r>
    </w:p>
    <w:p>
      <w:r>
        <w:t>A/1141/2018 - 3/7 -</w:t>
      </w:r>
    </w:p>
    <w:p>
      <w:r>
        <w:rPr>
          <w:b/>
        </w:rPr>
        <w:t>E. 8</w:t>
      </w:r>
    </w:p>
    <w:p>
      <w:r>
        <w:t>L’intéressé a interjeté recours le 5 avril 2018 contre ladite décision sur opposition. Il rappelle que le montant que lui versait le SPC depuis décembre 2008 variait et souligne que le contrat de travail à durée indéterminée conclu par son épouse à partir du 1er octobre 2015 comprenait une période d’essai – car elle n’avait ni formation, ni expérience -, de sorte qu’elle risquait une résiliation, raison pour laquelle il n’avait pas informé le SPC de cette prise d’activité. Il a considéré que le SPC réviserait automatiquement, si besoin, son droit aux prestations complémentaires dès réception de sa déclaration fiscale 2016. Il insiste enfin sur le fait qu’à aucun moment, il n’a cherché à cacher au SPC une modification de sa situation financière. Il indique par ailleurs que le remboursement d’un tel montant lui est impossible au vu de ses revenus actuels.</w:t>
      </w:r>
    </w:p>
    <w:p>
      <w:r>
        <w:rPr>
          <w:b/>
        </w:rPr>
        <w:t>E. 9</w:t>
      </w:r>
    </w:p>
    <w:p>
      <w:r>
        <w:t>Dans sa réponse du 30 avril 2018, le SPC a conclu au rejet du recours.</w:t>
      </w:r>
    </w:p>
    <w:p>
      <w:r>
        <w:rPr>
          <w:b/>
        </w:rPr>
        <w:t>E. 10</w:t>
      </w:r>
    </w:p>
    <w:p>
      <w:r>
        <w:t>Ce courrier a été transmis à l’intéressé et la cause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Le litige porte sur le droit du SPC de refuser à l’intéressé la remise de l’obligation de rembourser la somme de CHF 15'064.-, étant rappelé que la décision du</w:t>
      </w:r>
    </w:p>
    <w:p>
      <w:r>
        <w:rPr>
          <w:b/>
        </w:rPr>
        <w:t>E. 13</w:t>
      </w:r>
    </w:p>
    <w:p>
      <w:r>
        <w:t>octobre 2017 fixant le principe et le montant de la restitution est entrée en force. 4. 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A/1141/2018 - 4/7 -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Selon l’art. 5 al. 1 OPGA, il y a situation difficile, au sens de l'art. 25 al. 1 LPGA,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d.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ordonnance sur les prestations complémentaires à l’assurance- vieillesse, survivants et invalidité du 15 janvier 1971 (OPC-AVS/AI - RS 831.301), l'ayant droit ou son représentant légal ou, le cas échéant, le tiers ou l'autorité à qui</w:t>
      </w:r>
    </w:p>
    <w:p>
      <w:r>
        <w:t>A/1141/2018 - 5/7 -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5.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b. L’alinéa premier de l’art. 27 LPGA ne porte que sur une information générale des assurés, par le biais par exemple de brochures d’informations ou de lettres- 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6. En l’occurrence, l’intéressé fait valoir qu’il était de bonne foi. Il ne conteste cependant pas que son épouse ait repris une activité lucrative à compter du 1er octobre 2015, et admet ne pas en avoir informé le SPC. Il ne s’est ainsi pas conformé à son devoir d’annoncer. 7. a. Reste à qualifier la gravité de cette faute. En effet, ainsi que cela a été rappelé supra, selon la jurisprudence, la bonne foi d'un assuré peut être reconnue lorsque l'acte ou l'omission fautif ne constitue qu'une violation légère de l'obligation d'annoncer ou de renseigner.</w:t>
      </w:r>
    </w:p>
    <w:p>
      <w:r>
        <w:t>A/1141/2018 - 6/7 - b. L’intéressé allègue que le contrat de travail à durée indéterminée conclu par son épouse à partir du 1er octobre 2015 comprenait une période d’essai, raison pour laquelle il n’avait pas informé le SPC de cette prise d’activité. Il y a à cet égard lieu de rappeler que l’épouse a recommencé à travailler depuis le</w:t>
      </w:r>
    </w:p>
    <w:p>
      <w:r>
        <w:rPr>
          <w:b/>
        </w:rPr>
        <w:t>E. 15</w:t>
      </w:r>
    </w:p>
    <w:p>
      <w:r>
        <w:t>octobre 2015 déjà. Or, le SPC ne l’a appris qu’en juillet 2017. L’argument du risque de ne pas garder cette activité ne saurait dès lors être retenu. c. L’intéressé fait également valoir qu’il pensait que le SPC prendrait connaissance des déclarations fiscales et corrigerait le cas échéant d’office le montant des prestations complémentaires. Tel n’est pas le cas. Il lui appartenait quoi qu’il en soit d’en informer lui-même le SPC. Le devoir d’informer l’administration s’étend à tous les faits qui ont une importance pour le droit aux prestations. L’assuré n’a pas à décider ce qu’il doit ou non déclarer. d. Il indique que le montant que lui versait le SPC depuis décembre 2008 variait. Or, le SPC a fixé à CHF 770.- le montant des prestations dues à l’intéressé par décisions des 8 janvier et 11 décembre 2015, et 14 décembre 2016. Force est de considérer, quoi qu’il en soit, qu’il ne pouvait manquer, à la seule lecture du plan de calcul annexé aux décisions qui lui étaient notifiées, de constater que la liste des ressources prises en compte par le SPC ne mentionnait pas les gains d’activité lucrative de son épouse. Il y a à cet égard lieu de rappeler qu’à chaque fois que son droit aux prestations était recalculé dès le 1er janvier de l’année, il était invité à contrôler attentivement les montants indiqués sur le plan de calculs pour s’assurer qu’ils correspondaient bien à la situation actuelle. Cette indication lui était donnée à chaque fois en décembre de l’année précédente. Il lui incombait en cas de doute de se renseigner. e. Enfin, l’omission de l'intéressé a eu pour conséquence un versement indu de plus de CHF 15'000.- au total. On ne saurait donc qualifier sa faute de légère (ATAS/176/2010). 8. Il suit de tout ce qui précède que l’intéressé ne peut exciper, dans le cas d’espèce, de sa bonne foi. Partant, il est superfétatoire d’examiner si la condition de la charge trop lourde est réalisée. Le recours sera donc rejeté, étant précisé que l’intéressé pourra demander au SPC la mise sur pied d’un plan de paiement.</w:t>
      </w:r>
    </w:p>
    <w:p>
      <w:r>
        <w:t>A/1141/2018 - 7/7 -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