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ATAS/524/2017 vom 22. Juni 2017</w:t>
      </w:r>
    </w:p>
    <w:p>
      <w:r>
        <w:t>GE Cour de justice, 2017-06-22, FR</w:t>
      </w:r>
    </w:p>
    <w:p>
      <w:r>
        <w:rPr>
          <w:b/>
        </w:rPr>
        <w:t xml:space="preserve">Quelle: </w:t>
      </w:r>
      <w:r>
        <w:t>https://mcp.opencaselaw.ch/entscheid/ge_gerichte_ATAS_524_2017</w:t>
      </w:r>
    </w:p>
    <w:p>
      <w:r>
        <w:t>FR: GE_GERICHTE ATAS/524/2017 du 22 juin 2017</w:t>
      </w:r>
    </w:p>
    <w:p>
      <w:r>
        <w:t>IT: GE_GERICHTE ATAS/524/2017 del 22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l'engagement de l’intimé de réformer sa décision sur opposition du 16 mars 2017 dans le sens que la durée de la suspension du droit à l’indemnité est réduite de cinq à trois jours.</w:t>
      </w:r>
    </w:p>
    <w:p>
      <w:r>
        <w:rPr>
          <w:b/>
        </w:rPr>
        <w:t>E. 2</w:t>
      </w:r>
    </w:p>
    <w:p>
      <w:r>
        <w:t>L'y condamne en tant que besoin.</w:t>
      </w:r>
    </w:p>
    <w:p>
      <w:r>
        <w:rPr>
          <w:b/>
        </w:rPr>
        <w:t>E. 3</w:t>
      </w:r>
    </w:p>
    <w:p>
      <w:r>
        <w:t>Prend acte de ce que la recourante accepte une suspension de trois jours du droit à l'indemnité pour avoir manqué l'entretien de conseil du 29 novembre 2016.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Diana ZIERI</w:t>
      </w:r>
    </w:p>
    <w:p>
      <w:r>
        <w:t>La présidente :</w:t>
      </w:r>
    </w:p>
    <w:p>
      <w:r>
        <w:t>Maya CRAMER 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