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ATAS/524/2016 vom 23. Juni 2016</w:t>
      </w:r>
    </w:p>
    <w:p>
      <w:r>
        <w:t>GE Cour de justice, 2016-06-23, FR</w:t>
      </w:r>
    </w:p>
    <w:p>
      <w:r>
        <w:rPr>
          <w:b/>
        </w:rPr>
        <w:t xml:space="preserve">Quelle: </w:t>
      </w:r>
      <w:r>
        <w:t>https://mcp.opencaselaw.ch/entscheid/ge_gerichte_ATAS_524_2016</w:t>
      </w:r>
    </w:p>
    <w:p>
      <w:r>
        <w:t>FR: GE_GERICHTE ATAS/524/2016 du 23 juin 2016</w:t>
      </w:r>
    </w:p>
    <w:p>
      <w:r>
        <w:t>IT: GE_GERICHTE ATAS/524/2016 del 23 giugno 2016</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467 consid. 1 et les références).</w:t>
      </w:r>
    </w:p>
    <w:p>
      <w:r>
        <w:rPr>
          <w:b/>
        </w:rPr>
        <w:t>E. 3</w:t>
      </w:r>
    </w:p>
    <w:p>
      <w:r>
        <w:t>Le délai de recours est de 30 jours (art. 60 al. 1 LPGA). Interjeté dans la forme et le délai prévus par la loi, le recours du 5 octobre 2015, contre la décision sur opposition datée du 31 août 2015, mais reçue par le recourant le 3 septembre 2015, est recevable en vertu des art. 56ss LPGA.</w:t>
      </w:r>
    </w:p>
    <w:p>
      <w:r>
        <w:t>A/3477/2015 - 8/15 -</w:t>
      </w:r>
    </w:p>
    <w:p>
      <w:r>
        <w:rPr>
          <w:b/>
        </w:rPr>
        <w:t>E. 4</w:t>
      </w:r>
    </w:p>
    <w:p>
      <w:r>
        <w:t>Le litige se limite à l’examen du droit du recourant à une indemnité pour atteinte à l'intégrité physique.</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La réglementation prévue à l'art. 24 al. 2 LAA suppose que les conditions d'octroi de chacune des prestations soient réunies au même moment (ATF 113 V 48 consid. 3).</w:t>
      </w:r>
    </w:p>
    <w:p>
      <w:r>
        <w:t>A/3477/2015 - 9/15 -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w:t>
      </w:r>
    </w:p>
    <w:p>
      <w:r>
        <w:t>A/3477/2015 - 10/15 -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c.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janvier 2004 consid. 5.2). A compter du 1er janvier 2008, le montant maximum du gain assuré s’élevait à CHF 126'000.- par an et CHF 346.- par jour. Depuis le 1er janvier 2016, il s'élève à CHF 148'200.- par an et CHF 406.- par jour (art. 22 al. 1 de l'ordonnance sur l'assurance-accidents du 20 décembre 1982 [OLAA ; RS 832.202]).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(Schweizerische Unfallversicherungsanstalt ; ci-après :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t>A/3477/2015 - 11/15 - d.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entrainât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 particulier, une atteinte à l'intégrité au sens de l'art. 24 al. 1 LAA consiste généralement en un déficit corporel – anatomique ou fonctionnel -, mental ou psychique (cf. Alfred MAURER, Schweizerisches Unfallverischerungsrecht, 1985, p. 414). La gravité de l'atteinte, dont dépend le montant de l'indemnité, se détermine uniquement d'après les constatations médicales (SVR 2009 UV no 27 p. 97, 8C_459/2008, consid. 2.3 ; voir également Thomas FREI, Die Integritäts- 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no 235).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w:t>
      </w:r>
    </w:p>
    <w:p>
      <w:r>
        <w:t>A/3477/2015 - 12/15 -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toutefois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w:t>
      </w:r>
    </w:p>
    <w:p>
      <w:r>
        <w:t>A/3477/2015 - 13/15 - 44 LPGA ou une expertise judiciaire (ATF 135 V 465 consid. 4; arrêt du Tribunal fédéral 8C_923/2010 du 2 novembre 2011 consid. 5.2).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il n'est pas contesté que le recourant a été victime d'un accident en date du 20 novembre 2013, ayant notamment entraîné une fracture de sa clavicule droite. Il est également constant que le recourant a repris son activité professionnelle, à son taux habituel de 80%, dès mai 2014. Dans sa décision litigieuse, l'intimée confirme mettre un terme à ses prestations avec effet au 31 mars 2015, date à laquelle elle a estimé que le statu quo sine avait été atteint, sauf en ce qui concerne la fracture de la clavicule, dont elle a cependant considéré l’état comme stabilisé. Elle retient que l'octroi d'une IPAI ne se justifie pas pour l’heure, vu l’absence d’arthrose existante ou prévisible. Le recourant s'oppose à cette décision dans la mesure où elle lui nie le droit à une IPAI sur le plan somatique. Se fondant sur les conclusions de son médecin traitant, le Dr D______, il soutient qu'une arthrose séquellaire de la fracture de sa clavicule est prévisible et justifie d’ores et déjà l’octroi d’une IPAI d'au moins 5%. Ainsi, les parties s'entendent sur le fait que le traitement médical concernant la clavicule est terminé, mais s'opposent sur la question de la prévisibilité d’une atteinte arthrosique future. Ce faisant, la chambre de céans observe que les parties débattent de la question de l'aggravation d'une atteinte à l’intégrité, dont l'existence même, au sens des art. 24 LAA et 36 al. 1 OLAA, n'est pas démontrée. En effet, au vu des appréciations médicales versées à la procédure, force est de constater que le recourant ne présente objectivement pas, en l'état, de séquelles importantes et durables à son intégrité physique, dont il est à prévoir qu'elles subsisteront avec la même gravité pendant toute sa vie.</w:t>
      </w:r>
    </w:p>
    <w:p>
      <w:r>
        <w:t>A/3477/2015 - 14/15 - Au contraire, il est établi que l'état de la clavicule du recourant est stabilisé et que ce dernier a, du reste, pu reprendre son activité habituelle. Les parties ne font pas valoir l'inverse, s'attachant uniquement à débattre de la survenance éventuelle d'une arthrose, dont il n’est pas non plus contesté qu’elle n’existe pas pour l’heure. Dans ses rapports des 4 février et 27 mai 2015, le Dr D______ n'évoque que de potentielles séquelles arthrosiques. Ainsi, l'appréciation du Dr E______, selon laquelle cette complication ne peut pas être prise en compte tant qu'elle n'est pas présente, n'apparaît pour le moins pas critiquable. Comme l'a relevé à juste titre l'intimée, il est aussi bien envisageable qu'il n'y ait en définitive pas d'arthrose ou, au contraire, une arthrose plus importante que subodoré. Dans ces circonstances, la chambre de céans ne peut que donner acte à l'intimée de son engagement à statuer en cas d'apparition de séquelles tardives liées à l'accident subi. Il convient de souligner que les craintes émises par le recourant au vu de la jurisprudence restrictive en cas de révision de l’IPAI n’ont pas lieu d’être puisque, précisément, il n’aura pas encore été accordé d’indemnité. Eu égard à ce qui précède, c'est à juste titre que l'intimée n'a, en l'état, pas reconnu au recourant de droit à une IPAI, de sorte que sa décision du 31 août 2015 peut être confirmée. Au vu de ce qui précède, il n'y a pas lieu de procéder à des investigations supplémentaires, soit notamment de faire droit à l'expertise sollicitée par le recourant. Le recours est rejeté. Le recourant n'obtenant pas gain de cause, il n'a pas le droit à une indemnité pour ses frais et dépens (art. 61 let. g LPGA a contrario). Pour le reste, la procédure est gratuite (art. 61 let. a LPGA).</w:t>
      </w:r>
    </w:p>
    <w:p>
      <w:r>
        <w:t>A/3477/2015 - 15/15 -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