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ATAS/524/2010 vom 11. Mai 2010</w:t>
      </w:r>
    </w:p>
    <w:p>
      <w:r>
        <w:t>GE Cour de justice, 2010-05-11, FR</w:t>
      </w:r>
    </w:p>
    <w:p>
      <w:r>
        <w:rPr>
          <w:b/>
        </w:rPr>
        <w:t xml:space="preserve">Quelle: </w:t>
      </w:r>
      <w:r>
        <w:t>https://mcp.opencaselaw.ch/entscheid/ge_gerichte_ATAS_524_2010</w:t>
      </w:r>
    </w:p>
    <w:p>
      <w:r>
        <w:t>FR: GE_GERICHTE ATAS/524/2010 du 11 mai 2010</w:t>
      </w:r>
    </w:p>
    <w:p>
      <w:r>
        <w:t>IT: GE_GERICHTE ATAS/524/2010 del 11 maggio 2010</w:t>
      </w:r>
    </w:p>
    <w:p>
      <w:pPr>
        <w:pStyle w:val="Heading2"/>
      </w:pPr>
      <w:r>
        <w:t>Erwägungen</w:t>
      </w:r>
    </w:p>
    <w:p>
      <w:r>
        <w:rPr>
          <w:b/>
        </w:rPr>
        <w:t>E. 1</w:t>
      </w:r>
    </w:p>
    <w:p>
      <w:r>
        <w:t>Le Tribunal fédéral, dans son arrêt du 28 septembre 2009, a admis le recours déposé par l'OAI et annulé le jugement du Tribunal de céans rendu le 11 novembre 2008. Il a ce faisant renvoyé la cause à celui-ci pour nouveau jugement.</w:t>
      </w:r>
    </w:p>
    <w:p>
      <w:r>
        <w:rPr>
          <w:b/>
        </w:rPr>
        <w:t>E. 2</w:t>
      </w:r>
    </w:p>
    <w:p>
      <w:r>
        <w:t>Il y a lieu de rappeler que le litige porte sur le droit de l'OAI de supprimer le droit de l'assurée à une rente entière d'invalidité.</w:t>
      </w:r>
    </w:p>
    <w:p>
      <w:r>
        <w:rPr>
          <w:b/>
        </w:rPr>
        <w:t>E. 3</w:t>
      </w:r>
    </w:p>
    <w:p>
      <w:r>
        <w:t>Les dispositions topiques ont été dûment mentionnées dans l'arrêt du 11 novembre 2008. Il suffit de s'y référer. Il sera rappelé que :</w:t>
      </w:r>
    </w:p>
    <w:p>
      <w:r>
        <w:rPr>
          <w:b/>
        </w:rPr>
        <w:t>E. 4</w:t>
      </w:r>
    </w:p>
    <w:p>
      <w:r>
        <w:t>a)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L'entrée en vigueur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Il convient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w:t>
      </w:r>
    </w:p>
    <w:p>
      <w:r>
        <w:t>A/584/2008 - 6/8 - Il n'y a en revanche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MULLER,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Conformément à l'art. 88a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88a al. 2 RAI).</w:t>
      </w:r>
    </w:p>
    <w:p>
      <w:r>
        <w:rPr>
          <w:b/>
        </w:rPr>
        <w:t>E. 5</w:t>
      </w:r>
    </w:p>
    <w:p>
      <w:r>
        <w:t>En l'espèce, il convient de comparer les faits tels qu'ils se présentaient à l'époque de la décision du 24 septembre 2004 octroyant à l'assurée une rente entière, à ceux existant au moment de la décision litigieuse du 24 janvier 2008. En effet, dès lors que la première de ces deux décisions est entrée en force et qu'elle repose sur un examen matériel du droit à la rente, elle constitue le point de départ temporel pour l'examen d'une éventuelle modification du degré d'invalidité.</w:t>
      </w:r>
    </w:p>
    <w:p>
      <w:r>
        <w:rPr>
          <w:b/>
        </w:rPr>
        <w:t>E. 6</w:t>
      </w:r>
    </w:p>
    <w:p>
      <w:r>
        <w:t>Dans son précédent jugement du 11 novembre 2008, annulé par le TF, le Tribunal de céans avait constaté que l'expert M__________ ne faisait qu'apporter une appréciation différente sur l'évaluation du taux d'incapacité de travail et, se fondant sur la jurisprudence selon laquelle il n'y a pas matière à révision lorsque les circonstances sont demeurées inchangées et que le motif de la suppression ou de la diminution de la rente réside uniquement dans une nouvelle appréciation du cas, avait considéré que les conditions de l'art. 17 LPGA n'étaient pas réalisées.</w:t>
      </w:r>
    </w:p>
    <w:p>
      <w:r>
        <w:rPr>
          <w:b/>
        </w:rPr>
        <w:t>E. 7</w:t>
      </w:r>
    </w:p>
    <w:p>
      <w:r>
        <w:t>Selon l'OAI, la révision est au contraire possible, vu la modification notable de l'état de santé de l'assurée. Or, force est de constater qu'en réalité aucune modification notable n'a été mise en évidence. Dans le cadre de la procédure de révision, le Dr L__________ a indiqué</w:t>
      </w:r>
    </w:p>
    <w:p>
      <w:r>
        <w:t>A/584/2008 - 7/8 - que l'état de santé de sa patiente était stationnaire et confirmé que l'incapacité de travail était entière.</w:t>
      </w:r>
    </w:p>
    <w:p>
      <w:r>
        <w:rPr>
          <w:b/>
        </w:rPr>
        <w:t>E. 8</w:t>
      </w:r>
    </w:p>
    <w:p>
      <w:r>
        <w:t>Bien que retenant les mêmes diagnostics, l'expert a quant à lui évalué l'incapacité de travail de l'assurée à 30-40% et à 20% dans le cadre d'une activité adaptée à ses limitations fonctionnelles (alterner les positions assise et debout, sans port de charges dépassant 8 kilos avec les deux mains, et sans position assise prolongée de plus d'une heure. Il y a dès lors lieu de confirmer le jugement du 11 novembre 2008, en ce sens que l'appréciation nouvelle de l'expert ne permet pas de conclure que les conditions de l'art. 17 LPGA sont réalisées. Il n'en est pas de même en revanche pour la modification de la situation familiale. Il ressort en effet de l'enquête à domicile réalisée le 17 mars 2007 que l'assurée aurait, en raison de la naissance de ses deux autres enfants, réduit, si elle avait été en bonne santé, son temps de travail à 50%. Il y a à cet égard lieu de relever que l'enquêtrice a tenu compte de cette nouvelle répartition, de même que l'OAI, lorsqu'il a repris le calcul du taux d'invalidité global dans sa décision du 24 janvier 2008. Il n'est ainsi pas nécessaire de mettre sur pied une nouvelle enquête économique, les conclusions de l'enquête étant précisément "relevantes", contrairement à ce que l'assurée allègue dans ses écritures du 7 décembre 2009. Force dès lors est de constater que les conditions de l'art. 17 LPGA sont réalisées, et que l'OAI était en droit de procéder à la révision. Cette nouvelle répartition des tâches consacrées à la tenue du ménage et à l'éducation des enfants à raison de 50% d'une part, et à une activité professionnelle à 50% d'autre part pour l'autre moitié, implique de procéder à un nouveau calcul du degré d'invalidité, lequel s'énonce, si l'on considère que l'incapacité de travail est restée la même, comme suit : 20 x 100 + (40 - 20) x 14 = 57%</w:t>
      </w:r>
    </w:p>
    <w:p>
      <w:r>
        <w:t>40 Un tel degré d'invalidité ouvre le droit à une demi-rente d'invalidité conformément à l'art. 28 LAI, dès le 1er juin 2007, soit le premier jour du deuxième mois suivant la notification de la décision litigieuse.</w:t>
      </w:r>
    </w:p>
    <w:p>
      <w:r>
        <w:rPr>
          <w:b/>
        </w:rPr>
        <w:t>E. 9</w:t>
      </w:r>
    </w:p>
    <w:p>
      <w:r>
        <w:t>Cela étant, le Dr O__________ fait état, le 6 mai 2008, d'une incapacité de travail pour une période d'au moins 6 mois. Il indique ce faisant que la capacité de travail est susceptible d'évoluer après ce laps de temps. Il se justifie dès lors de renvoyer la cause à l'OAI, afin que celui-ci examine si une modification de l'état de santé est intervenue dès fin 2008, qui exigerait, dans le cadre d'une nouvelle révision, un nouveau calcul du degré d'invalidité.</w:t>
      </w:r>
    </w:p>
    <w:p>
      <w:r>
        <w:t>A/584/2008 - 8/8 -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