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ATAS/523/2024 vom 27. Juni 2024</w:t>
      </w:r>
    </w:p>
    <w:p>
      <w:r>
        <w:t>GE Cour de justice, 2024-06-27, FR</w:t>
      </w:r>
    </w:p>
    <w:p>
      <w:r>
        <w:rPr>
          <w:b/>
        </w:rPr>
        <w:t xml:space="preserve">Quelle: </w:t>
      </w:r>
      <w:r>
        <w:t>https://mcp.opencaselaw.ch/entscheid/ge_gerichte_ATAS_523_2024</w:t>
      </w:r>
    </w:p>
    <w:p>
      <w:r>
        <w:t>FR: GE_GERICHTE ATAS/523/2024 du 27 juin 2024</w:t>
      </w:r>
    </w:p>
    <w:p>
      <w:r>
        <w:t>IT: GE_GERICHTE ATAS/523/2024 del 27 giugno 2024</w:t>
      </w:r>
    </w:p>
    <w:p>
      <w:pPr>
        <w:pStyle w:val="Heading2"/>
      </w:pPr>
      <w:r>
        <w:t>Erwägungen</w:t>
      </w:r>
    </w:p>
    <w:p>
      <w:r>
        <w:rPr>
          <w:b/>
        </w:rPr>
        <w:t>E. 1.1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w:t>
      </w:r>
    </w:p>
    <w:p>
      <w:r>
        <w:t>A/516/2024 - 6/14 - Interjeté dans la forme et le délai prévus par la loi, le recours est recevable.</w:t>
      </w:r>
    </w:p>
    <w:p>
      <w:r>
        <w:rPr>
          <w:b/>
        </w:rPr>
        <w:t>E. 2</w:t>
      </w:r>
    </w:p>
    <w:p>
      <w:r>
        <w:t>L’objet du litige est la décision de refus de prestations invalidité du 8 janvier 2024.</w:t>
      </w:r>
    </w:p>
    <w:p>
      <w:r>
        <w:rPr>
          <w:b/>
        </w:rPr>
        <w:t>E. 3.1</w:t>
      </w:r>
    </w:p>
    <w:p>
      <w:r>
        <w:t>Par renvoi de l'art. 1 al. 1 LAI, les dispositions de la LPGA s'appliquent à l'assurance-invalidité, à moins que la loi n'y déroge expressément.</w:t>
      </w:r>
    </w:p>
    <w:p>
      <w:r>
        <w:rPr>
          <w:b/>
        </w:rPr>
        <w:t>E. 3.2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En l’occurrence, un éventuel droit à une rente d’invalidité naîtrait au plus tôt en février 2023, soit six mois après le dépôt de la demande du 8 juillet 2022 (cf. art. 29 al. 1 LAI), de sorte que les dispositions légales applicables seront citées dans leur nouvelle teneur.</w:t>
      </w:r>
    </w:p>
    <w:p>
      <w:r>
        <w:rPr>
          <w:b/>
        </w:rPr>
        <w:t>E. 4</w:t>
      </w:r>
    </w:p>
    <w:p>
      <w:r>
        <w:t>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w:t>
      </w:r>
    </w:p>
    <w:p>
      <w:r>
        <w:t>A/516/2024 - 7/14 -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Lorsque l'administration entre en matière sur la nouvelle demande, elle doit examiner l'affaire au fond et vérifier que la modification de l'invalidité ou de l'impotence rendue plausible par l'assuré est réellement intervenue ; elle doit donc procéder de la même manière qu'en cas de révision au sens de l'art. 17 LPGA, c'est-à-dire en comparant les faits tels qu'ils se présentaient au moment de la décision initiale de rente et les circonstances régnant à l'époque de la décision litigieuse (ATF 130 V 351 consid. 3.5.2 ; 125 V 369 consid. 2 et la référence ; 112 V 372 consid. 2b et 390 consid. 1b) afin d'établir si un changement est intervenu.</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5.2</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dispose les quotités de la rente pour les taux d'invalidité inférieurs à 50%.</w:t>
      </w:r>
    </w:p>
    <w:p>
      <w:r>
        <w:rPr>
          <w:b/>
        </w:rPr>
        <w:t>E. 5.3</w:t>
      </w:r>
    </w:p>
    <w:p>
      <w:r>
        <w:t>L'art. 29 LAI prévoit que le droit à la rente prend naissance au plus tôt à l'échéance d’une période de six mois à compter de la date à laquelle l’assuré a fait</w:t>
      </w:r>
    </w:p>
    <w:p>
      <w:r>
        <w:t>A/516/2024 - 8/14 - valoir son droit aux prestations conformément à l’art. 29 al. 1 LPGA, mais pas avant le mois qui suit le 18e anniversaire de l’assuré (al. 1). La rente est versée dès le début du mois au cours duquel le droit prend naissance (al. 3).</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6.2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w:t>
      </w:r>
    </w:p>
    <w:p>
      <w:r>
        <w:t>A/516/2024 - 9/14 -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w:t>
      </w:r>
    </w:p>
    <w:p>
      <w:r>
        <w:t>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des prestations, et statuer en conséquence. En cas de recours, le même devoir de contrôle quant au fond incombe au juge (ATF 117 V 198 consid. 3a ; 109 V 114 consid. 2a et b).</w:t>
      </w:r>
    </w:p>
    <w:p>
      <w:r>
        <w:rPr>
          <w:b/>
        </w:rPr>
        <w:t>E. 8.1</w:t>
      </w:r>
    </w:p>
    <w:p>
      <w:r>
        <w:t>En l’espèce, l'intimé est entré en matière sur la nouvelle demande de prestations déposée par le recourant au mois de juillet 2022, admettant qu’il était plausible que l’invalidité s’était modifiée de façon à influencer ses droits. Néanmoins, à l’issue de l’instruction et après avoir examiné les rapports médicaux des médecins ayant traité l’assuré, l’OAI a considéré qu’il n’y avait pas</w:t>
      </w:r>
    </w:p>
    <w:p>
      <w:r>
        <w:t>A/516/2024 - 10/14 - d’aggravation de l’état de santé, depuis la décision du 5 novembre 2014 fondée, notamment, sur l’avis du SMR du 6 juin 2014. Contrairement à ce qu’allègue le mandataire du recourant dans sa réplique (p. 14), il n’est pas surprenant que le SMR ait considéré l’aggravation de l’état de santé comme plausible alors même qu’à l’issue de l’instruction, il estime qu’il n’y a pas d’aggravation. La phase d’instruction sert précisément à recueillir les faits et informations permettant de retenir comme établis, ou non, les éléments allégués par l’assuré qui, au stade préliminaire de l’entrée en matière, n’ont été jugés que plausibles. Les rapports médicaux fournis par le recourant à l’intimé, pendant ladite phase d’instruction, sont précisément destinés à établir l’aggravation alléguée par l’assuré, ce qui sera examiné plus en détail infra sous ch. 8.2. L’assuré remet en question, au stade de la réplique, le bien-fondé de la décision du 5 novembre 2014, invoquant qu’à l’époque des faits, il était trop préoccupé par sa santé pour faire recours. Il sera rappelé que l’assuré n’a pas recouru contre la décision du 5 novembre 2014, alors même qu’il a disposé d’un délai de cinq mois pour faire valoir son argumentation et produire des pièces médicales, entre la communication du projet de décision du 6 juin 2014 et la notification de la décision du 5 novembre 2014. La décision du 5 novembre 2014 est entrée en force et aucune cause de révision valide n’étant invoquée par le recourant, il convient, comme l’a fait l’OAI, d’examiner, en se fondant sur de nouvelles pièces médicales, si depuis 2014, la situation de l’assuré s’est péjorée à ce point qu’il aurait à présent droit à des prestations invalidité. Le recourant allègue avoir exercé une activité lucrative qu’il n’a pas pu poursuivre en raison de ses problèmes de dos. Or, on peut constater d’emblée que l’activité de chauffeur-livreur exercée pendant quelques mois, en 2013, à 60% auprès de l’entreprise L______, ne respectait pas les limitations fonctionnelles retenues par le Dr B______ dans son rapport d’expertise du 9 mai 2014, notamment, éviter le port de charges de plus de 10 kg et les mouvements répétés du rachis ; partant, il ne s’agissait pas d’une activité adaptée et l’abandon de cette activité n’est pas de nature à confirmer une éventuelle aggravation de l’état de santé de l’assuré après la décision du 5 novembre 2014, ce d’autant moins que l’activité en question était antérieure à ladite décision. Pour être complet, il sied d’ajouter que la lecture de l’extrait du compte individuel AVS transmis par l’OAI montre que l’assuré n’a exercé aucune autre activité depuis l’année 2014, alors même qu’il allègue, au niveau de la réplique, avoir fait tout ce qui était en son pouvoir pour retrouver une activité lucrative (réplique p. 8, ch. 31).</w:t>
      </w:r>
    </w:p>
    <w:p>
      <w:r>
        <w:t>A/516/2024 - 11/14 -</w:t>
      </w:r>
    </w:p>
    <w:p>
      <w:r>
        <w:rPr>
          <w:b/>
        </w:rPr>
        <w:t>E. 8.2</w:t>
      </w:r>
    </w:p>
    <w:p>
      <w:r>
        <w:t>Il convient, à présent, d’examiner les pièces médicales transmises par l’assuré dans le cadre de sa nouvelle demande de juillet 2023 afin d’établir si une aggravation notable et durable est documentée de manière convaincante. Le rapport d’oesogastroduodenoscopie du 26 avril 2021 réalisé par le gastro- entérologue H______ ne fait état d’aucun élément pouvant justifier une incapacité de travail. L’IRM cervicale du 29 août 2022 fait état, selon les conclusions du radiologue E______, d’une discopathie débutante plus marquée au niveau C5 – C6 et C6 – C7, une absence de canal cervical étroit, une absence de conflit discoradiculaire significatif et une rectitude de la colonne cervicale faisant suspecter une tension musculaire élevée. Ces éléments ne sont pas de nature à établir une aggravation de l’état de santé, ce d’autant moins que le radiologue mentionne que l’alignement est conservé, qu’il n’y a pas de fracture de tassement, que la rectitude de la colonne cervicale et des tissus paravertébraux est sans particularités et qu’il y a une absence de sténose canalaire significative ou de signes radiologiques de myélopathie. L’hémangiome centimétrique, déjà mentionné dans le rapport d’IRM du 21 septembre 2020, est indiqué. Le rapport d’IRM lombaire du 29 août 2022, rédigé par le même radiologue, mentionne que par rapport à l’imagerie comparative du 14 septembre 2020, on retrouve le status post opératoire L5 – S1 gauche, mais qu’on remarque la présence d’un débord discal résiduel excentrique et plus marqué recessal gauche, au contact non conflictuel avec l’émergence de la racine S1 gauche. L’image radiologique serait compatible avec une fibrose péri-radiculaire autour de l’émergence de la racine S1 gauche, qui est discrètement plus compacte par rapport à l’imagerie de 2020. S’y ajoute une discrète réaction inflammatoire de l’articulation sacro-iliaque à prédominance droite, d’origine mécanique probable. Le questionnaire complété par le médecin généraliste D______, en décembre 2022, indique une spondylarthrose lombaire aggravée, malgré l’opération en 2020, sur fibrose secondaire, avec Modic II L5-S1 et des lombalgies chroniques avec sciatalgies gauches en L5-S1. À la lecture du rapport d’expertise du Dr B______ du 9 mai 2014, on constate qu’un certain degré de fibrose était déjà remarqué autour de la racine S1, ainsi qu’un débord discal latéralisé à gauche entrant également en contact avec cette racine. Une atteinte inflammatoire du disque intersomatique et des plateaux vertébraux adjacents ainsi que des articulations postérieures des trois derniers niveaux avait déjà été remarquée (rapport d’expertise, p. 4), de même que le Modic II en L5-S1 (rapport d’expertise, p. 9). Compte tenu de ces éléments et en l’absence de tout autre rapport médical émanant d’un spécialiste en rhumatologie ou en orthopédie, il y a lieu de suivre les conclusions du SMR, la chambre de céans considérant qu’il est établi au degré de la vraisemblance prépondérante qu’à l’issue de l’instruction, il n’y a pas lieu de</w:t>
      </w:r>
    </w:p>
    <w:p>
      <w:r>
        <w:t>A/516/2024 - 12/14 - retenir une aggravation somatique de la santé du recourant d’une telle ampleur qu’elle pourrait entraîner une modification notable et durable de la capacité de travail dans une activité adaptée aux limitations fonctionnelles du recourant.</w:t>
      </w:r>
    </w:p>
    <w:p>
      <w:r>
        <w:rPr>
          <w:b/>
        </w:rPr>
        <w:t>E. 8.3</w:t>
      </w:r>
    </w:p>
    <w:p>
      <w:r>
        <w:t>Dans le cadre de son recours et de la réplique de son mandataire, le recourant fait état de la consultation d’une psychiatre et d’un psychothérapeute. Il convient de rappeler qu’en date du 13 octobre 2023, l’OAI a contacté l’assuré afin de lui demander s’il consultait un psychiatre, ce à quoi l’assuré avait répondu avoir consulté à deux reprises le psychiatre I______ puis avoir cessé de le voir. Compte tenu de ces informations, l’OAI était fondé à ne pas investiguer le volet psychiatrique, ce d’autant moins que l’assuré n’avait jamais allégué souffrir de troubles de cette nature, étant précisé que la prise régulière d’un antidépresseur peut être interprétée comme signifiant qu’un éventuel trouble dépressif léger est sous contrôle. L'élément déterminant en la matière n'est, en effet, pas de savoir quand le trouble est précisément apparu, mais à partir de quand il a développé des effets sur la capacité de travail de la personne concernée. À cet égard, le principe jurisprudentiel selon lequel la décision sur opposition de l'organe de l'assurance sociale fixe la limite temporelle de l'état de fait déterminant (parmi de nombreux autres arrêts, ATF 131 V 242 consid. 2.1) s'applique au contrôle judiciaire de la décision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131 V 407 consid. 2.1.2.1 ; 121 V 366 consid. 1b et les arrêts cités). En l’occurrence, il n’y a pas lieu de prendre en compte les éventuelles troubles de la santé psychique invoqués par le recourant, car même si ces péjorations étaient avérées, elles seraient, quoi qu’il en soit, postérieures au prononcé de la décision attaquée (datée du 8 janvier 2024).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Étant précisé que rien ne rend vraisemblable qu’il existe un lien entre des éventuels troubles psychiques et la situation antérieure au 8 janvier 2024, ce d’autant moins que, comme le fait remarquer l’intimé, l’assuré a déjà annoncé à plusieurs reprises qu’il allait faire parvenir de nouvelles pièces médicales émanant de son médecin psychiatre alors même qu’aucune pièce n’a été communiquée à ce jour. Partant, il sied de considérer que l’éventuel volet psychiatrique, s’il était documenté par des pièces médicales idoines, n’entre pas dans l’état de fait existant au moment où la décision litigieuse a été rendue et ne peut donc faire l’objet d’une instruction ou d’un contrôle par la chambre de céans.</w:t>
      </w:r>
    </w:p>
    <w:p>
      <w:r>
        <w:t>A/516/2024 - 13/14 -</w:t>
      </w:r>
    </w:p>
    <w:p>
      <w:r>
        <w:rPr>
          <w:b/>
        </w:rPr>
        <w:t>E. 8.4</w:t>
      </w:r>
    </w:p>
    <w:p>
      <w:r>
        <w:t>En ce qui concerne les demandes d’actes d’instruction du recourant, le juge, en se fondant sur une appréciation consciencieuse des preuves fournies par les investigations auxquelles il doit procéder d’office, peut considérer qu’il est superflu d’administrer d’autres preuves s’il est convaincu que certains faits présentent un degré de vraisemblance prépondérante et que d’autres mesures probatoires ne pourraient plus modifier cette appréciation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 En l’état, la comparution personnelle du recourant n’est pas nécessaire dans la mesure où ce dernier a pu largement s’exprimer ; il en est de même de son médecin traitant, le Dr D______, qui a fourni plusieurs pièces médicales et dont on peut s’attendre à ce qu’il ne fasse que les confirmer oralement. S’agissant de la demande d’audition du psychiatre J______ et du psychothérapeute K______, elle ne se justifie pas, pour les raisons exposées supra, sous ch. 8.3, les éventuels troubles psychiques étant exorbitants à l’état de fait liant la chambre de céans.</w:t>
      </w:r>
    </w:p>
    <w:p>
      <w:r>
        <w:rPr>
          <w:b/>
        </w:rPr>
        <w:t>E. 8.5</w:t>
      </w:r>
    </w:p>
    <w:p>
      <w:r>
        <w:t>Enfin, s’agissant de la comparaison des revenus, elle n’est pas critiquée par le recourant. On constate que l’OAI s’est fondé sur les ESS dans la feuille de calcul du 7 novembre 2023 et a retenu, à juste titre, le tableau TA1 tirage skill level pour un homme, afin d’établir un revenu annuel brut avec invalidité de CHF 65'969.-, ainsi qu’un revenu sans invalidité de CHF 69'240.- dont il ressort une perte de gain de 4.72% arrondie à 4.7%. Ce calcul ne tient apparemment pas compte du taux d’abattement de 10% résultant du nouveau calcul du taux d’invalidité qui a fait l’objet d’une fiche d’information de l’office fédéral des assurances sociales du 18 octobre 2023 qui expose, notamment, que dès lors que la comparaison des revenus se fonde uniquement sur les ESS, il sied d’appliquer de manière forfaitaire un abattement de 10% selon l’art. 26 bis al. 3 RAI qui est entré en vigueur le 1er janvier 2024 ; néanmoins, dans le cas présent, l’application de cet abattement de 10% ne permet pas d’aboutir à un taux d’invalidité donnant droit à des prestations.</w:t>
      </w:r>
    </w:p>
    <w:p>
      <w:r>
        <w:rPr>
          <w:b/>
        </w:rPr>
        <w:t>E. 9.1</w:t>
      </w:r>
    </w:p>
    <w:p>
      <w:r>
        <w:t>Au vu de ce qui précède, le recours sera rejeté.</w:t>
      </w:r>
    </w:p>
    <w:p>
      <w:r>
        <w:rPr>
          <w:b/>
        </w:rPr>
        <w:t>E. 9.2</w:t>
      </w:r>
    </w:p>
    <w:p>
      <w:r>
        <w:t>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A/516/2024 - 14/14 -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