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ATAS/523/2017 vom 22. Juni 2017</w:t>
      </w:r>
    </w:p>
    <w:p>
      <w:r>
        <w:t>GE Cour de justice, 2017-06-22, FR</w:t>
      </w:r>
    </w:p>
    <w:p>
      <w:r>
        <w:rPr>
          <w:b/>
        </w:rPr>
        <w:t xml:space="preserve">Quelle: </w:t>
      </w:r>
      <w:r>
        <w:t>https://mcp.opencaselaw.ch/entscheid/ge_gerichte_ATAS_523_2017</w:t>
      </w:r>
    </w:p>
    <w:p>
      <w:r>
        <w:t>FR: GE_GERICHTE ATAS/523/2017 du 22 juin 2017</w:t>
      </w:r>
    </w:p>
    <w:p>
      <w:r>
        <w:t>IT: GE_GERICHTE ATAS/523/2017 del 22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la demande recevable. Au fond :</w:t>
      </w:r>
    </w:p>
    <w:p>
      <w:r>
        <w:rPr>
          <w:b/>
        </w:rPr>
        <w:t>E. 2</w:t>
      </w:r>
    </w:p>
    <w:p>
      <w:r>
        <w:t>L'admet, pour autant qu'elle ne soit pas devenue sans objet.</w:t>
      </w:r>
    </w:p>
    <w:p>
      <w:r>
        <w:rPr>
          <w:b/>
        </w:rPr>
        <w:t>E. 3</w:t>
      </w:r>
    </w:p>
    <w:p>
      <w:r>
        <w:t>Condamne la défenderesse au paiement de CHF 1'250.- avec intérêts de 6% dès le 17 mai 2017.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