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ATAS/523/2014 vom 23. April 2014</w:t>
      </w:r>
    </w:p>
    <w:p>
      <w:r>
        <w:t>GE Cour de justice, 2014-04-23, FR</w:t>
      </w:r>
    </w:p>
    <w:p>
      <w:r>
        <w:rPr>
          <w:b/>
        </w:rPr>
        <w:t xml:space="preserve">Quelle: </w:t>
      </w:r>
      <w:r>
        <w:t>https://mcp.opencaselaw.ch/entscheid/ge_gerichte_ATAS_523_2014</w:t>
      </w:r>
    </w:p>
    <w:p>
      <w:r>
        <w:t>FR: GE_GERICHTE ATAS/523/2014 du 23 avril 2014</w:t>
      </w:r>
    </w:p>
    <w:p>
      <w:r>
        <w:t>IT: GE_GERICHTE ATAS/523/2014 del 23 aprile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Interjeté en temps utile et dans la forme requise par la loi, le recours est recevable (cf. art. 89B de la loi sur la procédure administrative du 12 septembre 1986 [LPA ; RS GE E 5 10]).</w:t>
      </w:r>
    </w:p>
    <w:p>
      <w:r>
        <w:rPr>
          <w:b/>
        </w:rPr>
        <w:t>E. 4</w:t>
      </w:r>
    </w:p>
    <w:p>
      <w:r>
        <w:t>Sur le plan matériel, le point de savoir quel droit s’applique doit être tranché à la lumière du principe selon lequel les règles applicables sont celles en vigueur au moment où les faits juridiquement déterminants se sont produits (ATF 130 V 229consid. 1.1 et les références). En l’espèce, la décision litigieuse porte sur le subside de l’assurance-maladie pour l’année 2013, de sorte que sont notamment applicables les modifications du 25 janvier 2008 de la LaLAMal entrées en vigueur le 1er janvier 2009, et celles du règlement d’exécution de la LaLAMal du 1er janvier 1998 (RaLAMal ; RS GE J 3 05.01), entrées en vigueur à la même date.</w:t>
      </w:r>
    </w:p>
    <w:p>
      <w:r>
        <w:rPr>
          <w:b/>
        </w:rPr>
        <w:t>E. 5</w:t>
      </w:r>
    </w:p>
    <w:p>
      <w:r>
        <w:t>Le litige porte sur le droit du recourant à des subsides de l’assurance-maladie pour l'année 2013.</w:t>
      </w:r>
    </w:p>
    <w:p>
      <w:r>
        <w:rPr>
          <w:b/>
        </w:rPr>
        <w:t>E. 6</w:t>
      </w:r>
    </w:p>
    <w:p>
      <w:r>
        <w:t>a) 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Les règles édictées par les</w:t>
      </w:r>
    </w:p>
    <w:p>
      <w:r>
        <w:t>A/4172/2013 - 4/6 - cantons en matière de réduction des primes dans l'assurance-maladie constituent du droit cantonal autonome (ATF 131 V 202 consid. 3.2 p. 207, et les références). b) L'octroi, par le canton de Genève, de subsides au titre de la réduction des primes de l'assurance-maladie obligatoire est prévu aux articles 19 à 34 de la LaLAMal, dispositions d'application des art. 65 et 65a LAMal (ATF 131 V 202 consid. 3.2.1). En vertu de l'art. 19 LaLAMal, l’Etat de Genève accorde aux assurés de condition économique modeste des subsides destinés à la couverture totale ou partielle des primes de l’assurance-maladie (al. 1). Le service de l’assurance-maladie est chargé du versement des subsides destinés à la réduction des primes. Il est également compétent pour l’échange des données avec les assureurs (al. 3). Le montant des subsides en question dépend du revenu au sens de l’art. 21 et des charges de famille assumées par l’assuré (art. 22 al. 2 LaLAMal).</w:t>
      </w:r>
    </w:p>
    <w:p>
      <w:r>
        <w:rPr>
          <w:b/>
        </w:rPr>
        <w:t>E. 7</w:t>
      </w:r>
    </w:p>
    <w:p>
      <w:r>
        <w:t>a) Le législateur distingue entre, d’une part, les assurés de condition économique modeste ou bénéficiaires de prestations complémentaires à l’AVS/AI (art. 20 al. 1 let. a et b LaLAMal), et, d’autre part, ceux présumés ne pas être de condition économique modeste – soit parce que leur fortune brute ou leur revenu annuel brut est important (art. 20 al. 2 LaLAMal ; cf. également art. 10 al. 1 et 2 RaLAMal), soit parce qu’ils ne sont pas au bénéfice de prestations d’aide sociale, bien que leur revenu déterminant n’atteigne pas la limite fixée (art. 20 al. 3 let. a LaLAMal). Les assurés présumés ne pas être de condition économique modeste peuvent néanmoins déposer une demande dûment motivée, accompagnée de pièces justificatives établissant que leur situation économique justifie l’octroi de subsides (art. 23 al. 5 LaLAMal ; cf. également art. 10 al. 3 et 6 RaLAMal). b) A teneur de l’art. 10 al. 1 RaLAMal , est considérée comme importante au sens de l’art. 20 al. 2 de la loi la fortune brute qui excède CHF 250'000.-, telle que retenue par l’administration fiscale cantonale sur la base de la loi sur l’imposition des personnes physiques, du 27 septembre 2009. L’abattement de la valeur fiscale d’immeubles de 4% par année d’occupation continue par le même propriétaire ou usufruitier – jusqu’à concurrence de 40% - au sens de l’art 50 let. e de la loi sur l’imposition des personnes physiques du 27 septembre 2009, n’est pas pris en compte. Est considéré comme important au sens de l’art. 20 al. 2 de la loi le revenu annuel brut qui dépasse CHF 150'000.-, tel que retenu par l’administration fiscale cantonale sur la base de la loi sur l’imposition des personnes physiques, du 27 septembre 2009 (art. 10 al. 2 RaLAMal). En vertu de l’art. 10 al. 3 RaLAMal, les personnes visées par l’art. 20 al. 2 de la loi peuvent, en application de l’art 23 al. 5 de la loi, obtenir un subside lorsque leur revenu brut fiscal, réalisé 2 ans avant l’année d’ouverture du droit aux subsides, multiplié par le coefficient 0,95, augmenté du 15ème de la fortune brute, ne dépasse pas les montants figurant à l’art. 10B. Pour le calcul de la fortune brute,</w:t>
      </w:r>
    </w:p>
    <w:p>
      <w:r>
        <w:t>A/4172/2013 - 5/6 - l’abattement mentionné à l’alinéa 1 n’est pas pris en compte. Selon l’art. 10B al. 1 let. c) et al. 2 RaLAMal, le revenu annuel déterminant d’un couple avec deux charges légales en 2013 ne doit pas dépasser le montant de CHF 73'000.-. Selon l’art. 10A RaLAMal, les demandes de subsides des assurés visés par l’art. 10 doivent être adressées au service avant le 31 décembre de l’année d’ouverture du droit aux subsides.</w:t>
      </w:r>
    </w:p>
    <w:p>
      <w:r>
        <w:rPr>
          <w:b/>
        </w:rPr>
        <w:t>E. 8</w:t>
      </w:r>
    </w:p>
    <w:p>
      <w:r>
        <w:t>En l’espèce, l’avis de taxation du 26 août 2013, portant sur l’année d’imposition 2012, n’est pas déterminant pour le subside 2013. C’est par conséquent à juste titre que l’intimé s’est fondé sur les éléments relatifs à l’année 2011. Selon la fiche de renseignements pour l’application du revenu déterminant unifié (RDU), le revenu brut déterminant 2011 s’élevait à CHF 118'277.- et la fortune brute à CHF 806'128.-. Au vu de ces éléments, conformément aux articles 20 al. 2 LAMal et 10 al. 1 et 2 RaLAMal, le recourant est présumé ne pas être de condition économique modeste. Partant, il convient d’appliquer les règles de calcul prévues à l’art. 10 al. 3 RaLAMal pour le calcul du revenu brut fiscal, soit : 0,95 x CHF 118'277 + 1/15ème de CHF 806'128 = CHF 166'105.- Ce montant étant supérieur à CHF 73'000.- pour un couple avec deux charges légales (art. 10B al. 1 let. c) et 2 RaLAMal), le recourant n’a pas droit à des subsides. La décision de l’intimé ne prête ainsi pas flanc à la critique.</w:t>
      </w:r>
    </w:p>
    <w:p>
      <w:r>
        <w:rPr>
          <w:b/>
        </w:rPr>
        <w:t>E. 9</w:t>
      </w:r>
    </w:p>
    <w:p>
      <w:r>
        <w:t>Le recourant invoque toutefois le fait que sa dette hypothécaire a augmenté pour atteindre CHF 897'000.- en 2012 et qu’il convient de déduire de ses revenus les frais et intérêts hypothécaires. Cela étant, le législateur a prévu expressément que la fortune brute est déterminante pour juger de son importance au sens des articles 20 al. 2 LAMal et 10 al. 1 RaLAMal. De même, le calcul du revenu déterminant selon l’art. 10 al. 3 RaLAMal se fonde sur le revenu fiscal brut et la fortune brute. La chambre de céans ne saurait s’écarter du texte clair de la loi. Au surplus, il convient de relever que l’attestation RDU produite par le recourant (année de référence 2012) laisse apparaître qu’en dépit d’une fortune négative, le RDU pour le subside d’assurance-maladie s’élève à CHF 91’592.-, montant toujours supérieur à la limite applicable pour une couple avec deux charges légales.</w:t>
      </w:r>
    </w:p>
    <w:p>
      <w:r>
        <w:rPr>
          <w:b/>
        </w:rPr>
        <w:t>E. 10</w:t>
      </w:r>
    </w:p>
    <w:p>
      <w:r>
        <w:t>Au vu de ce qui précède, le recours, mal fondé, doit être rejeté.</w:t>
      </w:r>
    </w:p>
    <w:p>
      <w:r>
        <w:rPr>
          <w:b/>
        </w:rPr>
        <w:t>E. 11</w:t>
      </w:r>
    </w:p>
    <w:p>
      <w:r>
        <w:t>La procédure est gratuite (art.89H LPA).</w:t>
      </w:r>
    </w:p>
    <w:p>
      <w:r>
        <w:t>A/4172/2013 - 6/6 -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