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ATAS/523/2012 vom 23. April 2012</w:t>
      </w:r>
    </w:p>
    <w:p>
      <w:r>
        <w:t>GE Cour de justice, 2012-04-23, FR</w:t>
      </w:r>
    </w:p>
    <w:p>
      <w:r>
        <w:rPr>
          <w:b/>
        </w:rPr>
        <w:t xml:space="preserve">Quelle: </w:t>
      </w:r>
      <w:r>
        <w:t>https://mcp.opencaselaw.ch/entscheid/ge_gerichte_ATAS_523_2012</w:t>
      </w:r>
    </w:p>
    <w:p>
      <w:r>
        <w:t>FR: GE_GERICHTE ATAS/523/2012 du 23 avril 2012</w:t>
      </w:r>
    </w:p>
    <w:p>
      <w:r>
        <w:t>IT: GE_GERICHTE ATAS/523/2012 del 23 aprile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25 juillet 2011, est postérieure à l'entrée en vigueur de la LPGA ainsi qu’à l’entrée en vigueur, le 1er janvier 2004, des modifications de la LAI du 21 mars 2003 (4ème révision) et, le 1er janvier 2008, des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rPr>
          <w:b/>
        </w:rPr>
        <w:t>E. 3</w:t>
      </w:r>
    </w:p>
    <w:p>
      <w:r>
        <w:t>a) Le délai de recours est de 30 jours (art. 60 al. 1 LPGA). Interjeté dans la forme et le délai prévus par la loi, le recours du 8 septembre 2011 contre la décision du 25 juillet 2011 est recevable, en vertu des art. 56ss LPGA.</w:t>
      </w:r>
    </w:p>
    <w:p>
      <w:r>
        <w:t>A/2706/2011 - 10/15 - b) Dans son écriture du 20 décembre 2011, le recourant conclut à la révision procédurale de la décision du 5 novembre 2007 rendue par l’intimé, en invoquant des moyens de preuve nouveaux au sens de l’art. 53 al. 1 LPGA. Or, une demande de révision pour faits ou moyens de preuve nouveaux ne peut être introduite que par-devant l’intimé, soit l’autorité ayant rendu la décision dont la révision est demandée. Par conséquent, la demande de révision de la décision du 5 novembre 2007 sera déclarée irrecevable.</w:t>
      </w:r>
    </w:p>
    <w:p>
      <w:r>
        <w:rPr>
          <w:b/>
        </w:rPr>
        <w:t>E. 4</w:t>
      </w:r>
    </w:p>
    <w:p>
      <w:r>
        <w:t>En l’occurrence, même si la décision litigieuse statue sur la fin de l’aide au placement, il n’en demeure pas moins que l’intimé a, par cette décision, retenu que la capacité de travail du recourant dans une activité adaptée était identique à celle retenue dans la décision de suppression de rente. La question litigieuse est par conséquent de savoir si l’invalidité du recourant s’est modifiée suite à la suppression de sa rente par décision du 5 novembre 2007.</w:t>
      </w:r>
    </w:p>
    <w:p>
      <w:r>
        <w:rPr>
          <w:b/>
        </w:rPr>
        <w:t>E. 5</w:t>
      </w:r>
    </w:p>
    <w:p>
      <w:r>
        <w:t>a) Lorsque la rente ou l’allocation pour impotent - ou encore, par analogie, les mesures de réadaptation (ATF 109 V 119) -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w:t>
      </w:r>
    </w:p>
    <w:p>
      <w:r>
        <w:t>A/2706/2011 - 11/15 - b)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6</w:t>
      </w:r>
    </w:p>
    <w:p>
      <w:r>
        <w:t>En l'espèce, quand bien même le recourant n’a pas formellement déposé une nouvelle demande de prestations en invoquant une modification de son état de santé, il n’en demeure pas moins qu’au vu des nouveaux éléments en sa possession - soit le rapport des EPI du 4 février 2010 et le rapport du Dr B__________ du 15 mars 2010 - l’intimé a décidé de procéder à une nouvelle instruction médicale du recourant, suivant ainsi l’avis du SMR du 8 juin 2010. Il y a donc lieu de constater que l’intimé a admis que les rapports précités rendaient plausible une modification de l’invalidité du recourant de manière à influencer ses droits. Il convient dès lors d’examiner si c’est à bon droit que l’intimé a retenu que le recourant présente toujours une capacité de travail entière dans une activité adaptée et que partant, l’évaluation de l’invalidité contenue dans la décision du 5 novembre 2007 est toujours valable.</w:t>
      </w:r>
    </w:p>
    <w:p>
      <w:r>
        <w:rPr>
          <w:b/>
        </w:rPr>
        <w:t>E. 7</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w:t>
      </w:r>
    </w:p>
    <w:p>
      <w:r>
        <w:t>A/2706/2011 - 12/15 - l’activité qui peut être exigée de l'assuré peut aussi relever d’une autre profession ou d’un autre domaine d’activité (art. 6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8</w:t>
      </w:r>
    </w:p>
    <w:p>
      <w:r>
        <w:t>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d) On ajoutera qu'en cas de divergence d’opinion entre experts et médecins traitants, il n'est pas, de manière générale, nécessaire de mettre en œuvre une</w:t>
      </w:r>
    </w:p>
    <w:p>
      <w:r>
        <w:t>A/2706/2011 - 13/15 -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non publié 9C_369/2008 du 5 mars 2009, consid. 2.2). 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9</w:t>
      </w:r>
    </w:p>
    <w:p>
      <w:r>
        <w:t>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 U 58/01 du 21 novembre 2001, consid. 5a). Dans un récent arrêt de principe, le Tribunal fédéral a cependant modifié sa jurisprudence en ce sens que les instances cantonales de recours sont en principe tenues de diligenter une expertise judiciaire si les expertises médicales ordonnées par l'OAI ne se révèlent pas probantes (ATF 9C_243/2010 du 28 juin 2011,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(consid. 4.4.1.4 in fine de l'arrêt précité du 28 juin 2011).</w:t>
      </w:r>
    </w:p>
    <w:p>
      <w:r>
        <w:t>A/2706/2011 - 14/15 -</w:t>
      </w:r>
    </w:p>
    <w:p>
      <w:r>
        <w:rPr>
          <w:b/>
        </w:rPr>
        <w:t>E. 10</w:t>
      </w:r>
    </w:p>
    <w:p>
      <w:r>
        <w:t>En l’occurrence, force est de constater à la lecture de l’ensemble des pièces versées au dossier, que la Cour de céans ne dispose pas des éléments suffisants pour déterminer si, comme l’a retenu l’intimé dans sa décision litigieuse, le recourant dispose toujours d’une capacité de travail entière dans une activité adaptée. En effet, il y a lieu de constater que l’intimé a décidé de soumettre le recourant à une expertise neurologique, alors que si l’on se réfère aux explications motivées et convaincantes du Dr B__________ (rapports des 15 mars et 14 décembre 2010, 7 juin 2011), au vu du trouble dont souffre le recourant - soit une atteinte vestibulaire périphérique bilatérale sévère - l’expertise aurait dû être confiée à un spécialiste en oto-neuropsychologie. Il convient de relever à cet égard que la SUVA avait d’ailleurs également estimé nécessaire de soumettre le recourant à une expertise oto-neurologique effectuée par le Dr L_________ (rapport du 4 octobre 2005, pièce 134 page 2 chargé intimé) et non pas seulement neurologique comme l’a fait en l’occurrence l’intimé. De surcroît, alors que l’expert en neurologie, le Dr G_________, a indiqué qu’il convenait de compléter son bilan par une IRM cérébrale, force est de constater que l’intimé a rendu sa décision sans requérir que cet examen soit effectué. Qui plus est, tant le Dr G_________ (rapport d’expertise, page 17) que le Dr B__________ (rapport du 14 décembre 2010) font état du fait que le recourant présenterait une atteinte non somatique, rendant illusoire, selon le Dr G_________, une éventuelle réadaptation professionnelle. Or, force est de constater que malgré ces constats, le recourant n’a pas été soumis à une expertise psychiatrique. La cause n'étant, de l'avis de la Cour de céans, pas suffisamment instruite pour lui permettre de se déterminer en connaissance de cause, il convient d’admettre partiellement le recours et de renvoyer la cause à l’intimé pour instruction complémentaire, notamment par la mise en œuvre d’une expertise oto- neuropsychologique et psychiatrique, puis nouvelle décision.</w:t>
      </w:r>
    </w:p>
    <w:p>
      <w:r>
        <w:rPr>
          <w:b/>
        </w:rPr>
        <w:t>E. 11</w:t>
      </w:r>
    </w:p>
    <w:p>
      <w:r>
        <w:t>Au vu de ce qui précède, le recours doit être admis en ce sens que la décision du 25 juillet 2011 est annulée et la cause renvoyée à l’intimé pour instruction complémentaire et nouvelle décision. Le recourant, représenté par un conseil, obtenant partiellement gain de cause, une indemnité de 1'500 fr. lui est accordée à titre de dépens (art. 61 let. g LPGA). La procédure de recours en matière de contestations portant sur l’octroi ou le refus de prestations de l’assurance-invalidité étant soumise à des frais de justice (art. 69 al. 1bis LAI), un émolument de 200 fr. sera mis à la charge de l’intimé.</w:t>
      </w:r>
    </w:p>
    <w:p>
      <w:r>
        <w:t>A/2706/2011 - 15/15 -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