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ATAS/522/2024 vom 27. Juni 2024</w:t>
      </w:r>
    </w:p>
    <w:p>
      <w:r>
        <w:t>GE Cour de justice, 2024-06-27, FR</w:t>
      </w:r>
    </w:p>
    <w:p>
      <w:r>
        <w:rPr>
          <w:b/>
        </w:rPr>
        <w:t xml:space="preserve">Quelle: </w:t>
      </w:r>
      <w:r>
        <w:t>https://mcp.opencaselaw.ch/entscheid/ge_gerichte_ATAS_522_2024</w:t>
      </w:r>
    </w:p>
    <w:p>
      <w:r>
        <w:t>FR: GE_GERICHTE ATAS/522/2024 du 27 juin 2024</w:t>
      </w:r>
    </w:p>
    <w:p>
      <w:r>
        <w:t>IT: GE_GERICHTE ATAS/522/2024 del 27 giugno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w:t>
      </w:r>
    </w:p>
    <w:p>
      <w:r>
        <w:rPr>
          <w:b/>
        </w:rPr>
        <w:t>E. 1.2</w:t>
      </w:r>
    </w:p>
    <w:p>
      <w:r>
        <w:t>Selon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 Le dernier employeur du recourant, lequel est domicilié en France, est situé dans le canton de Genève. Partant, la chambre de céans est compétente à raison de la matière et du lieu, pour juger du cas d'espèce.</w:t>
      </w:r>
    </w:p>
    <w:p>
      <w:r>
        <w:rPr>
          <w:b/>
        </w:rPr>
        <w:t>E. 1.3</w:t>
      </w:r>
    </w:p>
    <w:p>
      <w:r>
        <w:t>Interjeté dans la forme (art. 61 let. b LPGA) et le délai (art. 60 et 38 al. 3 LPGA ; art. 62 al. 1 let. a de la loi sur la procédure administrative du 12 septembre 1985 [LPA - E 5 10]) prévus par la loi, le recours est recevable.</w:t>
      </w:r>
    </w:p>
    <w:p>
      <w:r>
        <w:rPr>
          <w:b/>
        </w:rPr>
        <w:t>E. 2</w:t>
      </w:r>
    </w:p>
    <w:p>
      <w:r>
        <w:t>Le litige porte, d'une part, sur la stabilisation de l'état de santé du recourant au 31 août 2021 et, d'autre part, sur sa capacité de travail dans une activité adaptée, son taux d'invalidité ainsi que le taux de l'IPAI.</w:t>
      </w:r>
    </w:p>
    <w:p>
      <w:r>
        <w:rPr>
          <w:b/>
        </w:rPr>
        <w:t>E. 3</w:t>
      </w:r>
    </w:p>
    <w:p>
      <w:r>
        <w:t>La LPGA s’applique à la présente espèce, par renvoi de l’art. 1 al. 1 LAA.</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w:t>
      </w:r>
    </w:p>
    <w:p>
      <w:r>
        <w:t>A/3613/2023 - 8/16 - compromet la santé physique, mentale ou psychique ou qui entraîne la mort (art. 4 LPGA ; ATF 129 V 402 consid. 2.1 ; 122 V 230 consid. 1 et les références).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rPr>
          <w:b/>
        </w:rPr>
        <w:t>E. 3.2</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Ainsi, l’assureur-accidents doit également prendre en charge les suites indirectes d’un accident (RAMA 2003 no. U 487 p. 337 consid. 5.2.2 ; arrêts du Tribunal fédéral 8C_684/2008 du 5 janvier 2009 consid. 5.1 et 8C_444/2008 du 23 décembre 2008 consid. 5 ; ATAS/848/2013 du 2 septembre 2013 consid. 5b/aa).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4</w:t>
      </w:r>
    </w:p>
    <w:p>
      <w:r>
        <w:t>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w:t>
      </w:r>
    </w:p>
    <w:p>
      <w:r>
        <w:t>A/3613/2023 - 9/16 - celui de l'accident. Il s’éteint dès que l’assuré a recouvré sa pleine capacité de travail, dès qu’une rente est versée ou dès que l’assuré décède (art. 16 al. 2 LAA).</w:t>
      </w:r>
    </w:p>
    <w:p>
      <w:r>
        <w:rPr>
          <w:b/>
        </w:rPr>
        <w:t>E. 5.1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w:t>
      </w:r>
    </w:p>
    <w:p>
      <w:r>
        <w:rPr>
          <w:b/>
        </w:rPr>
        <w:t>E. 5.2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 (ATF 125 V 351 consid. 3b).</w:t>
      </w:r>
    </w:p>
    <w:p>
      <w:r>
        <w:rPr>
          <w:b/>
        </w:rPr>
        <w:t>E. 5.3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137 V 210 consid. 1.3.4 et les références ; 135 V 465 consid. 4.4 et les références ; 125 V 351 consid. 3b/bb).</w:t>
      </w:r>
    </w:p>
    <w:p>
      <w:r>
        <w:t>A/3613/2023 - 10/16 -</w:t>
      </w:r>
    </w:p>
    <w:p>
      <w:r>
        <w:rPr>
          <w:b/>
        </w:rPr>
        <w:t>E. 5.4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5.5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consid. 4.5 et les références ;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 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5.6</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w:t>
      </w:r>
    </w:p>
    <w:p>
      <w:r>
        <w:t>A/3613/2023 - 11/16 -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 1 et la référence).</w:t>
      </w:r>
    </w:p>
    <w:p>
      <w:r>
        <w:rPr>
          <w:b/>
        </w:rPr>
        <w:t>E. 6.2</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 RAMA 1985 p. 240 consid. 4 ; arrêt du Tribunal fédéral I 751/03 du 19 mars 2004 consid. 3.3).</w:t>
      </w:r>
    </w:p>
    <w:p>
      <w:r>
        <w:rPr>
          <w:b/>
        </w:rPr>
        <w:t>E. 7</w:t>
      </w:r>
    </w:p>
    <w:p>
      <w:r>
        <w:t>sur 10 et qu’elle est de 8 sur 10 en fin de séance, à midi. L’expert constate que</w:t>
      </w:r>
    </w:p>
    <w:p>
      <w:r>
        <w:t>A/3613/2023 - 13/16 - « l’expression émotionnelle très mobile chez un assuré souriant en début de séance se fige avec la durée de celle-ci ». Lors du test neuropsychologique, on constate ce qui suit : sur la flexibilité, le temps de réponse est inférieur à la norme ; sur l’attention divisée, l’expert note que les constantes sont très inférieures à la norme en auditif et à la limite de la norme en visuel et mentionne « une difficulté à gérer cette double tâche qu’indique le ralentissement important pour les stimuli auditifs ». S’agissant de l’attention sélective, l’expert note que le rendement est clairement inférieur à la norme et qu’il en résulte un indice de concentration à la limite de la norme. En conclusion, l’expert note au plan attentionnel un rendement très pauvre en attention sélective, avec un indice de concentration à la limite de la norme et une difficulté en attention divisée, qui engendre un ralentissement excessif pour les stimuli auditifs. Au plan mnésique, une reconnaissance faible en apprentissage de liste, alors que les rappels immédiats et différés sont tous dans la norme. L’expert précise que le léger bégaiement de l’assuré n’affecte pas la capacité de communication. Il relève encore qu’il n’y a pas de comportement, souvent associé, d’exagération de symptômes, l’assuré est un peu démonstratif mais il n’est pas exagérément plaintif, ni revendicateur et ne renonce pas indûment à répondre aux tests. L’examen de l’IRM cérébrale du 5 août 2022 met en évidence une minime atrophie cérébrale débutante, sans cicatrice ni de foyer de sidérose leptoméningée secondaire à la petite hémorragie sous-arachnoïdienne frontale antérieure gauche qui avait été mise en évidence lors de l’IRM de l’année 2018. Il n’y a pas d’hydrocéphalie, ni d’autre élément pathologique. Faisant le bilan de la situation actuelle et exposant leurs conclusions, les experts notent que l’examen neurologique proprement dit est sans anomalie significative (rapport, p. 18 in fine) et que le bilan neuropsychologique permet d’objectiver des troubles neuropsychologiques minimaux, sans retentissement sur la capacité de travail (rapport, p. 19, § 2) Cependant, en dépit de ces observations objectives, les experts prennent ensuite des conclusions qui semblent s’éloigner des éléments objectifs puisqu’ils se fondent sur « l’avis de Monsieur A______» pour considérer qu’en raison de la persistance de ses plaintes, de la fatigabilité, de la perte de rendement, du besoin accru de sommeil et d’une perte de performance en cas d’activité prolongée, ces éléments doivent être pris en compte et justifient la reconnaissance d’une perte de la capacité de travail de 20% dans le type d’activité professionnelle exercé jusqu’ici par le recourant. Les experts se fondent donc uniquement sur les plaintes subjectives du recourant pour estimer que ce dernier n’a qu’une capacité de travail de 80%, alors même qu’ils ont exposé, avec justesse et de manière convaincante, qu’aucun élément objectif n’était de nature à justifier une diminution de la capacité de travail.</w:t>
      </w:r>
    </w:p>
    <w:p>
      <w:r>
        <w:t>A/3613/2023 - 14/16 - Il résulte de ce qui précède que, comme l’a soulevé l’intimée, le rapport d’expertise contient une contradiction intrinsèque entre les éléments établis objectivement par les experts et leurs conclusions, qui peuvent ainsi être remises en cause (dans le même sens et à propos d’éléments établis objectivement par des médecins traitants et ignorés dans les conclusions des experts, cf. arrêt du Tribunal fédéral 8C_755/2020 du 19 avril 2021 consid. 3.2 et les références). Cela ne signifie pas pour autant que l’expertise ne présente pas de valeur probante, notamment quant aux constatations objectives, à l’examen clinique, aux résultats des tests neuropsychologiques et à l’interprétation de l’imagerie médicale, mais la motivation qui conduit les experts à retenir cette diminution de la capacité de travail de 20% est insuffisante.</w:t>
      </w:r>
    </w:p>
    <w:p>
      <w:r>
        <w:rPr>
          <w:b/>
        </w:rPr>
        <w:t>E. 7.1</w:t>
      </w:r>
    </w:p>
    <w:p>
      <w:r>
        <w:t>S’agissant de la qualification de l’évaluation L______/M______, on rappellera que, par courrier du 18 mai 2022, l’intimée a informé le mandataire de l’assuré qu’elle allait compléter l’instruction en demandant « la prise de position » d’un conseil médical, à savoir le Dr L______, neurologue. L’assuré était informé qu’il allait bientôt être convoqué pour une « visite de consultation ». En réponse à des questions soulevées par le recourant, l’intimée, par courrier du 29 juin 2022, a précisé qu’il s’agissait d’une « prise de position pour un conseil médical » et non pas d’une « expertise au sens de l’art. 44 LPGA ». On peine à comprendre les raisons pour lesquelles l’intimée n’a pas suivi les règles prévues lorsqu’on recourt aux services d’un expert indépendant au sens de l’art. 44 LPGA. Ce faisant, l’intimée a matériellement mandaté un expert indépendant, sans respecter les règles de l’art. 44 LPGA destinées à protéger les droits de l’assuré, comme l’a souligné ce dernier dans le courrier de son mandataire du 13 juillet 2022. Évitant la dénomination « expertise », l’intimée a demandé un rapport sous forme « d’évaluation pluridisciplinaire », néanmoins, l’ambivalence de la dénomination du mandat ressort à plusieurs reprises des éléments de langage utilisés dans le rapport : le Dr L______ et M______ se présentent, en p. 2 de l’évaluation, comme</w:t>
      </w:r>
    </w:p>
    <w:p>
      <w:r>
        <w:t>A/3613/2023 - 12/16 - « Les experts soussignés », ils mentionnent, p. 8, in fine, « Attente de l’expertisé », terme repris en p. 9, au milieu, « Description par l’expertisé ». AXA semble également avoir considéré qu’il s’agissait d’une expertise, comme cela ressort de l’e-mail du 14 septembre 2022 envoyé par AXA au mandataire de l’assuré, dans lequel il est fait mention « de la consultation de votre mandant à des fins d’expertise qui a eu lieu hier », précisant qu’il y a eu malheureusement « un problème d’ordre technique avec l’enregistrement sonore » et proposant soit de renoncer à cet enregistrement soit de « réaliser une nouvelle consultation ». On voit mal les raisons pour lesquelles une simple « prise de position pour un conseil médical », tel que la démarche est présentée par AXA, devrait être accompagnée d’un enregistrement sonore, comme cela est obligatoire en cas d’expertise. Le médecin-conseil d’AXA, le Dr N______, qui s’est prononcé sur l’évaluation, a utilisé constamment, dans son rapport médical du 17 mars 2023, les termes « d’expert » et « d’expertise » soit, dans la version originale en allemand, les termes « Die Experten » et « Expertise ». En dépit de ces éléments, AXA maintient dans sa décision querellée qu’il ne s’agissait que d’une « demande de prise de position » (décision, p. 6, ch. 1.30) et que « le rapport du O______ n’est pas une expertise au sens de l’art. 44 LPGA » (décision, p. 13, premier §, in fine). S’il est vrai qu’AXA n’a pas respecté les règles découlant de l’art. 44 LPGA, il n’en reste pas moins qu’elle a mandaté, sans nul doute possible, des experts indépendants de son service médical, pour se prononcer sur le cas d’espèce. Partant, la chambre de céans considère que le rapport d’évaluation rendu par le Dr L______ et le neuropsychologue M______ doit être considéré comme un rapport d’expertise, effectué par un médecin et un neuropsychologue indépendants. Il s’agit, à présent, d’examiner si ledit rapport présente une pleine valeur probante.</w:t>
      </w:r>
    </w:p>
    <w:p>
      <w:r>
        <w:rPr>
          <w:b/>
        </w:rPr>
        <w:t>E. 7.2</w:t>
      </w:r>
    </w:p>
    <w:p>
      <w:r>
        <w:t>Le rapport a été rendu en connaissance du dossier médical de l’assuré, les différents rapports médicaux et les pièces d’imagerie sont répertoriés dans la partie « Analyse du dossier », p. 3 à 6. Les plaintes du recourant sont prises en compte dans la partie « Données subjectives », p. 7 et 8. Les données objectives et le status neurologique sont mentionnés en p. 10 et comprennent : un examen en station debout et à la marche, une auscultation des carotides, un examen de la nuque et des paires crâniennes, un examen des membres supérieurs et des membres inférieurs ainsi qu’un examen du tronc. Les résultats de l’examen neuropsychologique du 25 août 2022, d’une durée de trois heures, sont ensuite détaillés ; l’expert mentionne que l’assuré commence à bailler après 1h30 de séance (soit à 10h30), qu’à 10h45, la fatigue est évaluée à</w:t>
      </w:r>
    </w:p>
    <w:p>
      <w:r>
        <w:rPr>
          <w:b/>
        </w:rPr>
        <w:t>E. 7.3</w:t>
      </w:r>
    </w:p>
    <w:p>
      <w:r>
        <w:t>Il convient donc de renvoyer la cause à l’intimée afin qu’elle procède à un complément d’expertise et demande aux experts, notamment, d’exposer avec plus de rigueur et de façon plus détaillée, les raisons pour lesquelles ils ont abouti à la diminution de la capacité de travail de 20%. Pour ce faire, les experts devront prendre connaissance de toutes les pièces reçues postérieurement à leur précédente évaluation, notamment le rapport médical du médecin-conseil N______ et les appréciations des médecins traitants K______ et I______ et motiver soigneusement les raisons pour lesquelles il peut être tenu compte des éléments subjectifs qui les ont conduits à retenir un taux de 20% d’incapacité de travail. Ce complément d’expertise devra, cette fois-ci, respecter formellement la procédure prévue par l’art. 44 LPGA, et les droits du recourant, notamment en ce qui concerne la possibilité de poser des questions supplémentaires dans le cadre du mandat de complément d’expertise, devront être strictement respectés par l’intimée. Si, par hypothèse, il paraissait vraisemblable que les symptômes ne sont pas d’origine organique, l’intimée devra proposer un expert en psychiatrie, conformément à l’art. 44 LPGA, pour compléter l’expertise par un volet psychiatrique, avec une évaluation consensuelle multidisciplinaire. Dès lors que la capacité de travail du recourant doit faire l’objet d’un complément d’expertise, il n’est pas nécessaire, à ce stade, d’examiner l’éventuel droit à une rente et/ou à une IPAI.</w:t>
      </w:r>
    </w:p>
    <w:p>
      <w:r>
        <w:rPr>
          <w:b/>
        </w:rPr>
        <w:t>E. 8.1</w:t>
      </w:r>
    </w:p>
    <w:p>
      <w:r>
        <w:t>Au vu de ce qui précède, le recours est partiellement admis, la décision litigieuse annulée et la cause renvoyée à l'intimée, afin qu'elle procède conformément aux considérants.</w:t>
      </w:r>
    </w:p>
    <w:p>
      <w:r>
        <w:rPr>
          <w:b/>
        </w:rPr>
        <w:t>E. 8.2</w:t>
      </w:r>
    </w:p>
    <w:p>
      <w:r>
        <w:t>Le recourant, représenté par un avocat et obtenant partiellement gain de cause, a droit à une indemnité à titre de participation à ses frais et dépens (art. 61 let. g LPGA ; art. 6 du règlement sur les frais, émoluments et indemnités en matière</w:t>
      </w:r>
    </w:p>
    <w:p>
      <w:r>
        <w:t>A/3613/2023 - 15/16 - administrative du 30 juillet 1986 [RFPA - E 5 10.03]), fixée en l'espèce à CHF 3'000.-.</w:t>
      </w:r>
    </w:p>
    <w:p>
      <w:r>
        <w:rPr>
          <w:b/>
        </w:rPr>
        <w:t>E. 8.3</w:t>
      </w:r>
    </w:p>
    <w:p>
      <w:r>
        <w:t>Pour le surplus, la procédure est gratuite (art. 61 let. fbis LPGA a contrario).</w:t>
      </w:r>
    </w:p>
    <w:p>
      <w:r>
        <w:t>A/3613/2023 - 16/16 -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