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ATAS/522/2015 vom 30. Juni 2015</w:t>
      </w:r>
    </w:p>
    <w:p>
      <w:r>
        <w:t>GE Cour de justice, 2015-06-30, FR</w:t>
      </w:r>
    </w:p>
    <w:p>
      <w:r>
        <w:rPr>
          <w:b/>
        </w:rPr>
        <w:t xml:space="preserve">Quelle: </w:t>
      </w:r>
      <w:r>
        <w:t>https://mcp.opencaselaw.ch/entscheid/ge_gerichte_ATAS_522_2015</w:t>
      </w:r>
    </w:p>
    <w:p>
      <w:r>
        <w:t>FR: GE_GERICHTE ATAS/522/2015 du 30 juin 2015</w:t>
      </w:r>
    </w:p>
    <w:p>
      <w:r>
        <w:t>IT: GE_GERICHTE ATAS/522/2015 del 30 giugno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forme et délai prévus par la loi (art. 56ss LPGA), le présent recours est recevable.</w:t>
      </w:r>
    </w:p>
    <w:p>
      <w:r>
        <w:rPr>
          <w:b/>
        </w:rPr>
        <w:t>E. 4</w:t>
      </w:r>
    </w:p>
    <w:p>
      <w:r>
        <w:t>Le litige porte sur le droit de l’assurée à des prestations AI.</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w:t>
      </w:r>
    </w:p>
    <w:p>
      <w:r>
        <w:t>A/350/2015 - 6/11 - diminutions de la capacité de gain que l'assuré pourrait empêcher en faisant preuve de bonne volonté ; la mesure de ce qui est exigible doit être déterminée aussi objectivement que possible (ATF 102 V 165; arrêt du Tribunal fédéral I.786/04 du 19 janvier 2006 consid. 3.1).</w:t>
      </w:r>
    </w:p>
    <w:p>
      <w:r>
        <w:rPr>
          <w:b/>
        </w:rPr>
        <w:t>E. 7</w:t>
      </w:r>
    </w:p>
    <w:p>
      <w:r>
        <w:t>En vertu de l'art. 28 al. 2 LAI, l'assuré a droit à une rente entière s'il est invalide à 70% au moins, à un trois-quart de rente s'il est invalide à 60% au moins, à une demi-rente s'il est invalide à 50% au moins, ou à un quart de rente s'il est invalide à 40% au moins (art. 28 al. 2 LAI).</w:t>
      </w:r>
    </w:p>
    <w:p>
      <w:r>
        <w:rPr>
          <w:b/>
        </w:rPr>
        <w:t>E. 8</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A/350/2015 - 7/11 -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12</w:t>
      </w:r>
    </w:p>
    <w:p>
      <w:r>
        <w:t>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13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14</w:t>
      </w:r>
    </w:p>
    <w:p>
      <w:r>
        <w:t>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9C_776/2009 du 11 juin 2010, consid. 2.2).</w:t>
      </w:r>
    </w:p>
    <w:p>
      <w:r>
        <w:rPr>
          <w:b/>
        </w:rPr>
        <w:t>E. 15</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t>A/350/2015 - 8/11 -</w:t>
      </w:r>
    </w:p>
    <w:p>
      <w:r>
        <w:rPr>
          <w:b/>
        </w:rPr>
        <w:t>E. 16</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17</w:t>
      </w:r>
    </w:p>
    <w:p>
      <w:r>
        <w:t>En l’espèce, l’OAI s’est fondé sur l’avis du service médical régional AI (SMR) du 10 juin 2014, selon lequel la capacité de travail de l'assurée est nulle dans l’activité habituelle depuis le 27 janvier 2013, mais entière dans toute activité adaptée respectant les limitations fonctionnelles dès le 1er juin 2014. Il en a conclu que le degré d’invalidité était de 100% de janvier 2014 - soit à l’issue du délai d’attente d’un an - à juin 2014, et de 0% à compter de cette date. Constatant que le droit de l'assurée à une rente d'invalidité ne peut naître qu’à partir d’octobre 2014, soit six mois après la demande de prestations AI, conformément à l'art. 29 al. 1 LAI, il a ainsi considéré qu’en octobre 2014, le degré d’invalidité était nul, de sorte qu'il a refusé toute prestation. L’assurée quant à elle soutient qu’en octobre 2014, elle présentait toujours une incapacité de travail quelle que soit l’activité envisagée. Il s’agit dès lors de déterminer la capacité de travail de l’assurée dès juin 2014, étant admis que de janvier à juin 2014, celle-ci est nulle.</w:t>
      </w:r>
    </w:p>
    <w:p>
      <w:r>
        <w:rPr>
          <w:b/>
        </w:rPr>
        <w:t>E. 18</w:t>
      </w:r>
    </w:p>
    <w:p>
      <w:r>
        <w:t>Il y a lieu de relever que l’avis du SMR du 10 juin 2014 est plus que succinct. Il ne fait état que de ses conclusions sur la capacité de travail de l’assurée, sans autre commentaire, ni motivation. Il appert du dossier qu’il s’est en réalité lui-même fondé sur le rapport du Dr D______ du 1er mai 2014. Or, force est de constater qu'au moment où il établit ce rapport à l’attention de l’assureur-accident, celui-ci ne sait pas si la consolidation de la fracture est totale, n'ayant pas eu en mains la dernière radiographie de l'épaule effectuée aux HUG le 5 février. Le médecin regrette quoi qu’il en soit de n'avoir pas pu obtenir des renseignements plus précis du service d’orthopédie des HUG et recommande d’insister auprès de ce service suite aux prochains rendez-vous prévus pour avoir des conclusions adéquates. Il suggère enfin d’effectuer une expertise auprès d’un rhumatologue, si une reprise progressive de son activité professionnelle ne devait pas être envisagée au plus tard fin juin 2014. On peine à comprendre dans ces conditions sur quelle base le SMR a pris ses conclusions du 10 juin 2014. Il y a également lieu de relever que le Dr D______, à maintes reprises, fait état de manifestations exagérées de douleurs de la part de l'assurée, sans expliquer</w:t>
      </w:r>
    </w:p>
    <w:p>
      <w:r>
        <w:t>A/350/2015 - 9/11 - pourquoi elles seraient exagérées. Au contraire, il indique que "la collaboration est bonne d'emblée", que l'assurée "n'utilise que très peu son épaule gauche". Il précise qu'il lui "semble" que les douleurs sont plutôt d'origine musculaire que traumatique, tout en rappelant qu'il n'est pas orthopédiste. Il ajoute enfin des réflexions inopportunes et subjectives, telle que « l’assurée me mentionne, bien entendu, que je lui ai réveillé toutes les douleurs avec mon examen », ou accompagne d'un point d'exclamation la constatation qu'« elle allaite toujours actuellement », alors que l'enfant est alors âgé de 6 mois. Le Dr D______ se montre en fait contrarié de ce que l'assurée ne peut suivre un traitement médicamenteux anti-douleurs efficace, parce qu'elle allaite, se disant par ailleurs surpris « de la longueur du temps écoulé entre l’accident et l’état actuel, bien que je sois conscient que la grossesse et l’allaitement aient certainement contribué à ce délai ». Enfin, il convient de rappeler qu’il a été interrogé par l’assureur-accidents afin de répondre à des problématiques propres à cette assurance telles que l’existence d’un lien de causalité naturelle entre l’accident du 27 janvier 2013 et les douleurs à l’épaule dont se plaint l’assurée. Pour toutes ces raisons, le rapport du Dr D______ ne saurait se voir reconnaitre une quelconque valeur probante. Il s’ensuit que l’OAI ne pouvait pas, sur la base du seul rapport du Dr D______, rendre sa décision du 18 décembre 2014.</w:t>
      </w:r>
    </w:p>
    <w:p>
      <w:r>
        <w:rPr>
          <w:b/>
        </w:rPr>
        <w:t>E. 19</w:t>
      </w:r>
    </w:p>
    <w:p>
      <w:r>
        <w:t>Dans ses rapports des 14 mai et 16 juin 2014, le Dr E______ a retenu une incapacité de travail de 100% dans l'activité antérieure, mais ne fixe aucun taux dans une activité adaptée, se contentant de dire que l'assurée souffre d'un handicap fonctionnel gauche impliquant des faiblesses et des douleurs, et rendant un travail de force impossible à effectuer. Le Dr F______ a expliqué, le 11 juin 2014, qu'il reverra la patiente "d'ici un mois et demi pour faire le bilan" et propose d'ores et déjà, si les douleurs ne sont alors pas totalement soulagées, de procéder à une arthroscopie associée à une révision de la coiffe des rotateurs.</w:t>
      </w:r>
    </w:p>
    <w:p>
      <w:r>
        <w:rPr>
          <w:b/>
        </w:rPr>
        <w:t>E. 20</w:t>
      </w:r>
    </w:p>
    <w:p>
      <w:r>
        <w:t>La chambre de céans observe que ces rapports ne suffisent pas pour trancher le litige. Elle ne dispose en effet pas des éléments suffisants pour statuer sur l’évolution de l’état de santé de l’assurée depuis juin 2014, sur sa capacité de travail, ainsi que sur ses limitations fonctionnelles. Dans ces conditions, la cause sera renvoyée à l’OAI pour instruction complémentaire, étant rappelé à cet égard que le Dr D______ avait considéré le 1er mai 2014 que l’état de santé n’était pas stabilisé.</w:t>
      </w:r>
    </w:p>
    <w:p>
      <w:r>
        <w:t>A/350/2015 - 10/11 -</w:t>
      </w:r>
    </w:p>
    <w:p>
      <w:r>
        <w:rPr>
          <w:b/>
        </w:rPr>
        <w:t>E. 21</w:t>
      </w:r>
    </w:p>
    <w:p>
      <w:r>
        <w:t>Compte tenu de ce qui précède, le recours sera partiellement admis, la décision du 18 décembre 2014 annulée et le dossier renvoyé à l’OAI pour instruction complémentaire.</w:t>
      </w:r>
    </w:p>
    <w:p>
      <w:r>
        <w:rPr>
          <w:b/>
        </w:rPr>
        <w:t>E. 22</w:t>
      </w:r>
    </w:p>
    <w:p>
      <w:r>
        <w:t>L’assurée, qui obtient partiellement gain de cause, a droit à une participation à ses frais et dépens, fixée en l’espèce à CHF 1’200.- (art. 61 let. g LPGA ; art. 6 du règlement sur les frais, émoluments et indemnités en procédure administrative du 30 juillet 1986 (RFPA – RS/GE E 5 10.03). Au vu du sort du litige, l’émolument, arrêté à CHF 200.-, est mis à la charge de l’OAI (art. 69 al. 1bis LAI).</w:t>
      </w:r>
    </w:p>
    <w:p>
      <w:r>
        <w:t>A/350/2015 - 11/11 -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