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ATAS/522/2013 vom 16. Mai 2013</w:t>
      </w:r>
    </w:p>
    <w:p>
      <w:r>
        <w:t>GE Cour de justice, 2013-05-16, FR</w:t>
      </w:r>
    </w:p>
    <w:p>
      <w:r>
        <w:rPr>
          <w:b/>
        </w:rPr>
        <w:t xml:space="preserve">Quelle: </w:t>
      </w:r>
      <w:r>
        <w:t>https://mcp.opencaselaw.ch/entscheid/ge_gerichte_ATAS_522_2013</w:t>
      </w:r>
    </w:p>
    <w:p>
      <w:r>
        <w:t>FR: GE_GERICHTE ATAS/522/2013 du 16 mai 2013</w:t>
      </w:r>
    </w:p>
    <w:p>
      <w:r>
        <w:t>IT: GE_GERICHTE ATAS/522/2013 del 16 maggio 2013</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Quant à la recevabilité du recours, elle a déjà été établie précédemment, de sorte qu'il n'y a pas lieu d'y revenir ici.</w:t>
      </w:r>
    </w:p>
    <w:p>
      <w:r>
        <w:rPr>
          <w:b/>
        </w:rPr>
        <w:t>E. 3</w:t>
      </w:r>
    </w:p>
    <w:p>
      <w:r>
        <w:t>Le litige porte sur le droit du recourant aux prestations de l'assurance-invalidité.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A/3479/2010 - 10/15 -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5</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 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w:t>
      </w:r>
    </w:p>
    <w:p>
      <w:r>
        <w:t>A/3479/2010 - 11/15 -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A/3479/2010 - 12/15 -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8</w:t>
      </w:r>
    </w:p>
    <w:p>
      <w:r>
        <w:t>En l'espèce, la Cour de céans a mis sur pied une expertise judiciaire afin de déterminer quelles étaient les répercussions des atteintes à la santé de l’assuré sur sa capacité de travail une fois son abstinence obtenue. Il y a lieu de se pencher avant tout sur la valeur probante du rapport du Dr I___________. Tout d'abord, et contrairement à ce que soutient l’intimé, le rapport de l’expert se fonde sur une anamnèse détaillée - encore précisée le 24 octobre 2012 -,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En particulier, les reproches émis par le médecin du SMR qui reproche à l’expert d’avoir "pris fait et cause pour l'assuré et ses psychiatres- traitants" de manière "parfaitement choquant" apparaissent totalement dénués de fondement. Le fait que l’expert ait défendu une opinion en contradiction avec celle du SMR - de manière parfaitement convaincante et étayée, ainsi qu’on le verra ci- dessous - ne suffit pas à faire douter de son impartialité. L’expert a expliqué en détails pour quelles raisons il s’est écarté de l’avis du médecin du SMR et notamment le fait que l’assuré présente l'évolution typique d'une personne souffrant d'une maladie schizophrénique. Il a ainsi relevé qu’étaient apparues dès l’enfance - c'est-à-dire avant le début de la consommation de cannabis - des difficultés relationnelles et sociales ainsi que des troubles de la concentration. L’expert a également expliqué de quelle manière le vécu paranoïde s’était développé dans le cadre de l'activité de l'assuré à X___________ et l’a décrit comme un processus progressif sur la base d'un trouble du sentiment d'identité et d'une faille dans la perception de l'environnement. L'expert a également relevé que des symptômes psychotiques s'étaient manifestés en l'absence de consommation, fait d'ailleurs confirmé par le médecin de l'hôpital où l'abstinence au cannabis a contrôlée. L'expert a relevé une symptomatologie psychotique sous la forme de délires de grandeur et de persécutions variées. Il a admis qu’elle ne correspondait pas pleinement aux critères de la CIM-10 concernant la schizophrénie mais qu’elle était néanmoins importante et évidente. Le caractère récidivant et la bonne réponse au traitement neuroleptique évoquaient nettement un trouble du registre schizophrénique. A cet égard, on relèvera que les constatations de l’expert judicaire sont corroborées par celles des médecins des HUG qui ont eux aussi relevé</w:t>
      </w:r>
    </w:p>
    <w:p>
      <w:r>
        <w:t>A/3479/2010 - 13/15 - l’apparition de symptômes psychotiques dès février 2007, souligné leur sévérité et évoqué une maladie schizophrénique. Les explications données par le Dr I___________ à cet égard paraissent ainsi parfaitement convaincantes. La Cour relève que, tout comme l’expert judiciaire, le Dr F___________ a exclu une psychose liée à la consommation de cannabis. Avant même que l’assuré ne soit abstinent, le Dr F___________ émettait l’avis que l’abstinence ne mettrait pas fin aux troubles psychiques incapacitants. Les conclusions de l’expert selon lesquelles on est donc bien en présence d’une maladie psychique indépendante - bien qu’exacerbée par la consommation de cannabis - paraissent donc fondées. La Cour considère que, contrairement à ce que soutient l’intimé, l’expert a démontré de manière convaincante que l’on se trouve bien en présence d’une atteinte primaire invalidante. En définitive, il y a donc lieu de suivre les conclusions de l’expertise judiciaire, à savoir une atteinte psychique sévère sous forme de trouble schizophrénique présent depuis février 2007 au moins (date confirmée par le rapport du Dr B___________ et le rapport des Drs F___________ et E___________) et ayant entraîné à cette époque un épisode dépressif sévère. De même, il y a lieu de suivre l’expert quant à son évaluation de la capacité de travail. En effet, les limitations fonctionnelles décrites (trouble du sentiment d'identité et tendance à l'interprétation paranoïde, vécu de "concernement", difficulté à se situer dans le groupe avec tendance à se sous-estimer, vulnérabilité au stress et à l'exigence de rendement, difficulté à supporter les difficultés, décompensation périodique possible et difficultés à se structurer) paraissent de nature à justifier une limitation de la capacité de travail de 75%. Il y a certes eu une tentative de reprise du travail en juin 2007, mais elle s’est rapidement soldée par un échec. Ainsi que le précise l’expert, le taux d'incapacité de travail a ainsi varié de 100% à 75%, en fonction des décompensations, depuis février 2007. Sur ce point, il y a lieu de se référer aux rapports des HUG, qui concluent à une totale incapacité de travail de février à mai 2007 puis à nouveau depuis janvier 2008, étant précisé que, dans l’intervalle, selon le Dr B___________, l’incapacité a été également totale du 23 juin au 15 juillet 2007, puis de 50% jusqu’en février 2008. Le début de l’incapacité durable remonte donc bien à février 2007.</w:t>
      </w:r>
    </w:p>
    <w:p>
      <w:r>
        <w:rPr>
          <w:b/>
        </w:rPr>
        <w:t>E. 9</w:t>
      </w:r>
    </w:p>
    <w:p>
      <w:r>
        <w:t>Il convient à présent de déterminer le taux d'invalidité.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w:t>
      </w:r>
    </w:p>
    <w:p>
      <w:r>
        <w:t>A/3479/2010 - 14/15 -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l’expert retient certes une capacité de travail de 25% mais il précise également que seul un environnement protégé pourra entrer en ligne de compte. Dans cette mesure, force est de conclure que le degré d’invalidité du recourant est tel qu’il lui ouvre droit à une rente entière d’invalidité. Eu égard aux considérations qui précèdent, le recours est admis. .</w:t>
      </w:r>
    </w:p>
    <w:p>
      <w:r>
        <w:t>A/3479/2010 - 15/15 -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