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ATAS/521/2025 vom 23. Juni 2025</w:t>
      </w:r>
    </w:p>
    <w:p>
      <w:r>
        <w:t>GE Cour de justice, 2025-06-23, FR</w:t>
      </w:r>
    </w:p>
    <w:p>
      <w:r>
        <w:rPr>
          <w:b/>
        </w:rPr>
        <w:t xml:space="preserve">Quelle: </w:t>
      </w:r>
      <w:r>
        <w:t>https://mcp.opencaselaw.ch/entscheid/ge_gerichte_ATAS_521_2025</w:t>
      </w:r>
    </w:p>
    <w:p>
      <w:r>
        <w:t>FR: GE_GERICHTE ATAS/521/2025 du 23 juin 2025</w:t>
      </w:r>
    </w:p>
    <w:p>
      <w:r>
        <w:t>IT: GE_GERICHTE ATAS/521/2025 del 23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le recours est recevable (art. 60 al. 1 et 61 let. b LPGA ; art. 62 al. 1 et 89B LPA).</w:t>
      </w:r>
    </w:p>
    <w:p>
      <w:r>
        <w:rPr>
          <w:b/>
        </w:rPr>
        <w:t>E. 2</w:t>
      </w:r>
    </w:p>
    <w:p>
      <w:r>
        <w:t>Le litige porte sur l’aggravation de l’état de santé du recourant survenue entre le 14 mai 2013 – date de la dernière décision entrée en force et reposant sur un examen matériel du droit à la rente – et la date de la décision litigieuse, singulièrement sur le point de savoir si les répercussions de cette aggravation sur la capacité de gain justifient l’octroi d’une rente supérieure à une demi-rente d’invalidité. Dans la mesure où le recourant prend des conclusions relatives à la l’octroi d’une rente entière d’invalidité à compter du 1er août 2023 (soit dès la remise du rapport du 16 août 2023 du Dr G______ devant la chambre de céans), celles-ci sortent de l’objet de la contestation déterminé par la décision du 1er juin 2023 et sont d’emblée irrecevables (ATF 121 V 366 consid. 1b).</w:t>
      </w:r>
    </w:p>
    <w:p>
      <w:r>
        <w:t>A/1943/2023 - 13/33 -</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3.2</w:t>
      </w:r>
    </w:p>
    <w:p>
      <w:r>
        <w:t>En l’occurrence, la décision litigieuse a été rendue après le 1er janvier 2022. Toutefois, il n’est pas contesté par les parties au litige qu’une modification des circonstances (objectivation d’un TDAH) est survenue avant cette date, conformément à l’art. 88a RAI. Par conséquent, les dispositions applicables seront citées dans leur teneur en vigueur jusqu’au 31 décembre 2021.</w:t>
      </w:r>
    </w:p>
    <w:p>
      <w:r>
        <w:rPr>
          <w:b/>
        </w:rPr>
        <w:t>E. 3.3</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 arrêt du Tribunal fédéral 9C_137/2018 du 3 septembre 2018 consid. 2.2).</w:t>
      </w:r>
    </w:p>
    <w:p>
      <w:r>
        <w:t>A/1943/2023 - 14/33 -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pour déterminer si une modification notable du taux d’invalidité justifiant la révision du droit en question est intervenue (arrêt du Tribunal fédéral 9C_412/2010 du 22 février 2011 consid. 3).</w:t>
      </w:r>
    </w:p>
    <w:p>
      <w:r>
        <w:rPr>
          <w:b/>
        </w:rPr>
        <w:t>E. 3.4</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w:t>
      </w:r>
    </w:p>
    <w:p>
      <w:r>
        <w:t>A/1943/2023 - 15/33 - le degré d’invalidité doit être fixé à nouveau sur la base d’un état de fait établi de manière correcte et complète, sans référence à des évaluations antérieures de l’invalidité (ATF 141 V 9).</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3.7</w:t>
      </w:r>
    </w:p>
    <w:p>
      <w:r>
        <w:t>L’évaluation de l’invalidité s’effectue à l’aune d’un marché équilibré du travail. Cette notion, théorique et abstraite, sert de critère de distinction entre les cas relevant de l’assurance-chômage ou de l’assurance-invalidité.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(arrêt du Tribunal fédéral 9C_603/2015 du 25 avril 2016 consid. 6.1 et la référence).</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w:t>
      </w:r>
    </w:p>
    <w:p>
      <w:r>
        <w:t>A/1943/2023 - 16/33 -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4.1.1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4.1.2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w:t>
      </w:r>
    </w:p>
    <w:p>
      <w:r>
        <w:t>A/1943/2023 - 17/33 - tels qu’une exagération ou d’autres manifestations d’un profit secondaire tiré de la maladie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w:t>
      </w:r>
    </w:p>
    <w:p>
      <w:r>
        <w:t>A/1943/2023 - 18/33 -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w:t>
      </w:r>
    </w:p>
    <w:p>
      <w:r>
        <w:t>A/1943/2023 - 19/33 - 58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t>A/1943/2023 - 20/33 -</w:t>
      </w:r>
    </w:p>
    <w:p>
      <w:r>
        <w:rPr>
          <w:b/>
        </w:rPr>
        <w:t>E. 6.2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application de la jurisprudence précitée (ATF 147 V 167 consid. 4.1 ; aussi 133 V 108 consid. 5.4), il convient, en l’espèce, de comparer la situation telle qu’elle se présentait lors de la décision du 14 mai 2013 (et non pas lors de la décision de non-entrée en matière du 21 juillet 2014) avec celle existant au moment de la décision litigieuse, du 1er juin 2023, pour apprécier le bien-fondé d’une éventuelle révision opérée en application de l’art. 17 LPGA.</w:t>
      </w:r>
    </w:p>
    <w:p>
      <w:r>
        <w:rPr>
          <w:b/>
        </w:rPr>
        <w:t>E. 7.1</w:t>
      </w:r>
    </w:p>
    <w:p>
      <w:r>
        <w:t>Dans le cadre de la première demande de prestations, déposée le 1er décembre 2011, le SMR avait conclu le 16 mars 2012 que les diagnostics alors connus, comprenant des cervicalgies dégénératives sur troubles statiques du rachis, une discopathie étagée notamment au niveau de C5-C6 (contact avec la racine de C7) et une périarthrite de l’épaule droite avec tendinopathie du sus-épineux et du long chef du biceps, faisaient que la capacité de travail était nulle dans l’activité habituelle de chauffeur-livreur/ transporteur depuis janvier 2002, mais n’empêchait pas, à la même époque, l’exercice à plein temps d’une activité adaptée, c’est-à-dire permettant d’éviter les ports de charges à 1kg, les positions accroupie et en porte-à-faux du rachis, les positions statiques prolongée en hyper- flexion ou hyper-extension du rachis cervical ainsi que la sollicitation répétitive de l’épaule droite. Sur la base de cette instruction médicale, la décision du 4 juin 2013 avait refusé toute prestation à l’assuré, étant donné que sa capacité de travail était entière dans une activité adaptée aux limitations fonctionnelles retenues par le SMR et que la comparaison des revenus avec et sans invalidité aboutissait à une perte de gain nulle et à un degré d’invalidité qui ne l’était pas moins. La troisième demande de prestations, déposée le 9 novembre 2018, a abouti à la décision du 8 mai 2023 litigieuse qui se fonde sur l’avis du 6 septembre 2022 du SMR. Celui-ci retient, en plus des diagnostics somatiques déjà connus, une perturbation de l’activité et de l’attention (TDAH ; F90), à l’origine de limitations fonctionnelles supplémentaires (impulsivité cognitive, inattention, intolérance à la frustration, fragilité narcissique, sentiment d’ennui, tendance à la fuite ; préférer une activité exercée en solitaire ou au sein d’une petite équipe, sans sollicitation attentionnelle intense, dans un domaine investi par l’assuré) et d’une capacité de travail réduite à 50% dans une activité adaptée, ce depuis le 12 novembre 2019</w:t>
      </w:r>
    </w:p>
    <w:p>
      <w:r>
        <w:t>A/1943/2023 - 21/33 - (depuis octobre 2017 selon l’avis du SMR du 22 avril 2024 et les conclusions réformatoires de l’intimé, prises le jour de cet avis). Si l’on excepte la date à partir de laquelle la capacité de travail de l’assuré est réduite à 50% dans une activité adaptée – date que le SMR a fixée d’abord en fonction de celle du rapport du Dr E______, du 12 novembre 2019, puis de celle du bilan de K ______, du 16 octobre 2017 –, les conclusions du 6 septembre 2022 du SMR et, à leur suite, la décision attaquée se fondent sur le rapport d’expertise du 4 août 2022 pour les aspects psychiatriques du cas, en particulier la réduction de la capacité de travail à 50% qui y est retenue par l’expert I______. Sur le plan psychiatrique, le Dr I______ a relevé que le diagnostic de TDAH avait fait son apparition en 2017. De faible ampleur, ce trouble ne touchait ni l’attention soutenue, ni la mémoire de travail, ni le maintien de la vigilance de l’assuré. En revanche, des signes d’inattention et d’impulsivité étaient perceptibles, de même qu’une difficulté plus prononcée au niveau de la mobilisation de la mémoire verbale. Dans l’ensemble, le TDAH, même s’il était présent, avait ici un profil dominé par l’impulsivité cognitive (et beaucoup moins comportementale). Le tableau clinique s’alourdissait par la présence de traits de personnalité impulsive (intolérance aux frustrations, sentiment d’ennui et de vide, tendance à quitter rapidement les activités répétitives ; nervosité, impatience et agressivité verbale dans les relations affectives), mais aussi narcissiques (haute estime de soi alternant avec un vécu d’échec et de dévalorisation, décalage entre ses aspirations de vie intellectuelle et son présent) qui rendaient son adaptation professionnelle difficile. À l’heure actuelle, les limitations fonctionnelles étaient de deux types : impulsivité cognitive et inattention en lien avec le TDAH, fragilité narcissique (avec intolérance aux frustrations), sentiment d’ennui et tendance à la fuite sur le plan relationnel et professionnel en lien avec les traits de personnalité précités. Les critères de gravité n’étant pas réalisés sur le plan du fonctionnement quotidien, il n’était pas possible de retenir le diagnostic d’un trouble franc. Toutefois, la combinaison des deux diagnostics rendait, d’un point de vue psychiatrique, l’adaptation « en milieu usuel » impossible. En accord avec le Dr G______ (« rapport de novembre 2021 »), le Dr I______ estimait qu’à l’heure actuelle, un travail en milieu adapté, non occupationnel, était possible à 50% (soit 4 heures par jour) sans diminution de la performance. Ce travail ne devait pas nécessiter de mobilisation attentionnelle intense, s’exercer en solitaire ou en petite équipe dans un domaine proche des intérêts de l’assuré (par ex. aide aux ingénieurs du son). Une augmentation progressive du taux d’activité dans une telle activité adaptée était possible si un traitement de psychostimulants était mis en place et ses effets positifs. En revanche, dans l’activité exercée jusqu’ici, la capacité de travail était nulle, sans évolution positive à moyen terme. Enfin, l’expert a précisé lors de son audition du 16 décembre 2024 que l’exigibilité d’une activité adaptée au taux de 50% concernait l’économie libre et non un milieu protégé.</w:t>
      </w:r>
    </w:p>
    <w:p>
      <w:r>
        <w:t>A/1943/2023 - 22/33 -</w:t>
      </w:r>
    </w:p>
    <w:p>
      <w:r>
        <w:rPr>
          <w:b/>
        </w:rPr>
        <w:t>E. 7.2</w:t>
      </w:r>
    </w:p>
    <w:p>
      <w:r>
        <w:t>Il résulte de ce qui précède que, par rapport à l’état de fait sur lequel se fondait la décision du 4 juin 2013, l’état de santé de l’assuré s’est dégradé depuis l’objectivation d’un TDAH en octobre 2017, au point de diminuer la capacité de travail exigible dans une activité adaptée à 50% depuis lors. D’un point de vue psychiatrique, la chambre de céans constate que, même si l’expert I______ ne s’en tient pas strictement aux standards usuels d’une expertise psychiatrique réalisée selon la procédure probatoire structurée au sens de l’ATF 141 V 281 (ATF 143 V 418) et que ses explications requièrent de la part du lecteur qu’il recherche lui-même dans l’expertise les différents indicateurs et en fasse la synthèse, il ne résulte pas moins de l’inventaire de tous les points pertinents, en particulier des informations qu’il y a lieu de classer sous l’indicateur « atteinte à la santé », que le TDAH, de faible ampleur, ainsi que les traits de personnalité émotionnellement labile, de type impulsif et narcissique (Z73.1) présentent un degré de gravité fonctionnelle permettant l’exercice à 50% d’une activité adaptée aux limitations fonctionnelles d’ordre psychique précitées, ce qui est en cohérence avec l’absence de majoration des symptômes ainsi que les activités quotidiennes que l’assuré parvient à assumer pour la plupart (les actes administratifs et la tenue du ménage s’avérant plus difficiles). Par ailleurs, les informations à classer sous l’indicateur « personnalité » révèlent des ressources personnelles indéniables en termes de compétences intellectuelles, mais qui sont plus limitées sur un plan affectif et interpersonnel. Tenant compte des plaintes de l’assuré, comportant une anamnèse détaillée, des diagnostics motivés et des conclusions claires et cohérentes dans le sens précisé le 16 décembre 2024, le rapport d’expertise psychiatrique du 4 août 2022 peut se voir reconnaître valeur probante.</w:t>
      </w:r>
    </w:p>
    <w:p>
      <w:r>
        <w:rPr>
          <w:b/>
        </w:rPr>
        <w:t>E. 7.3</w:t>
      </w:r>
    </w:p>
    <w:p>
      <w:r>
        <w:t>D’avis contraire, l’assuré estime en substance que la gravité de son TDAH a été sous-estimée par l’expert I______ et entraînerait une incapacité de travail totale dans toute activité, même adaptée. Pour appuyer cette assertion, il se fonde notamment sur les rapports du Dr G______ – dont celui du 16 août 2023 – et le bilan neuropsychologique du 16 octobre 2017 de K ______.</w:t>
      </w:r>
    </w:p>
    <w:p>
      <w:r>
        <w:rPr>
          <w:b/>
        </w:rPr>
        <w:t>E. 7.3.1</w:t>
      </w:r>
    </w:p>
    <w:p>
      <w:r>
        <w:t>Concernant tout d’abord le Dr G______, ce psychiatre traitant a indiqué dans son rapport du 11 novembre 2021 que la capacité de travail de l’assuré était de 50% dans une activité strictement adaptée aux limitations fonctionnelles. Dans son rapport du 16 août 2023, il a précisé à ce sujet que la mention d’une capacité de travail 50% « en milieu [...] occupationnel » correspondait à l’exemple cité par l’expert en p. 22 in fine de son rapport (« aider des ingénieurs du son ») mais qu’il s’avérait « à ce jour que la capacité de travail, à [son] sens, [était] nulle même dans une activité adaptée ». La chambre de céans constate qu’il ne ressort pas clairement du rapport du 16 août 2023 si le Dr G______ reconsidère (ou précise) la capacité de travail de 50% qu’il attestait le 11 novembre 2021 ou s’il relate une péjoration de celle-ci,</w:t>
      </w:r>
    </w:p>
    <w:p>
      <w:r>
        <w:t>A/1943/2023 - 23/33 - survenue a posteriori. D’un côté, le terme « milieu occupationnel » ne figurait pas dans l’appréciation de la capacité de travail faite à cette dernière date. De l’autre, le Dr G______ mentionnait tout de même, dans la description des limitations fonctionnelles faite le 11 novembre 2021, qu’il « est très probable [que l’assuré] ait de la peine à pouvoir exécuter des tâches qui lui seraient confiées et à supporter le stress qui découlerait d’une activité dans le monde du travail dit normal » (dossier AI, doc. 116). En tout état, cette ambiguïté concernant le marché du travail visé ne semblait plus d’actualité dans le rapport du 16 août 2023, puisque le Dr G______ y attestait d’une incapacité de travail totale même dans une activité adaptée. Cette évolution, pour peu qu’elle se soit effectivement produite après la date de la décision litigieuse, n’est toutefois pas pertinente. 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Concernant ensuite la seconde hypothèse, dans laquelle le rapport du</w:t>
      </w:r>
    </w:p>
    <w:p>
      <w:r>
        <w:rPr>
          <w:b/>
        </w:rPr>
        <w:t>E. 7.3.2</w:t>
      </w:r>
    </w:p>
    <w:p>
      <w:r>
        <w:t>Concernant ensuite le rapport d’examen neuropsychologique du 16 octobre 2017, son auteure, K ______, conclut qu’il serait pertinent d’introduire un traitement spécifique au TDAH, compte tenu de la sévérité de l’atteinte attentionnelle et cognitive. Au vu de ces éléments, la chambre de céans constate que cette neuropsychologue, à l’image de l’expert, recommande un traitement pharmacologique du TDAH. Le recourant relève toutefois que même si les résultats des tests neuropsychologiques réalisés par K ______ d’une part et</w:t>
      </w:r>
    </w:p>
    <w:p>
      <w:r>
        <w:t>A/1943/2023 - 24/33 - l’expert d’autre part « sont très superposables » (écriture du recourant du 29 mai 2024, p. 2), l’expert en tirerait des conclusions qui seraient soit en contradiction avec les résultats, soit atténueraient ces derniers par des facteurs en réalité inexistants, de sorte que les conclusions de l’expert ne seraient pas convaincantes. Ces griefs ne sauraient être suivis, pas plus que les conclusions que le recourant en tire s’agissant de la valeur probante de l’expertise. On constate en effet que l’expert explique de manière précise et nuancée que le TDAH du recourant se manifeste, non pas par des difficultés qui seraient en lien avec l’attention soutenue, la mémoire de travail ou le maintien de la vigilance, mais avant tout par l’impulsivité cognitive, avec un tableau clinique aggravé par la présence de traits de la personnalité impulsive, mais aussi narcissique qui rendent son adaptation professionnelle difficile. Concernant les limitations fonctionnelles qui découlent des deux diagnostics qu’il retient, l’expert précise d’ailleurs que l’impulsivité cognitive et l’inattention sont en lien avec le TDAH alors que la fragilité narcissique (avec intolérance aux frustrations), le sentiment d’ennui, etc. sont en lien avec les traits de personnalité précités (rapport d’expertise, p. 20 et 22 : aussi ci-dessus : consid. 7.1). On soulignera enfin que lors de son audition par la chambre de céans, l’expert a expliqué n’avoir pas relevé de variations dans la commission des erreurs durant le test psychologique, raison pour laquelle il n’a pas retenu de problème au niveau de l’attention soutenue. Il s’avère ainsi que contrairement à ce que soutient le recourant, les différences d’appréciation entre l’expert I______ et K ______ – non pertinentes en tant que telles (ci-dessus : 5.3.4) – sont bien motivées par cet expert et, partant, convaincantes. Aussi la chambre de céans ne s’écartera-t-elle pas des conclusions du rapport d’expertise.</w:t>
      </w:r>
    </w:p>
    <w:p>
      <w:r>
        <w:rPr>
          <w:b/>
        </w:rPr>
        <w:t>E. 7.3.3</w:t>
      </w:r>
    </w:p>
    <w:p>
      <w:r>
        <w:t>Dans ses observations du 16 janvier 2025, le recourant relève néanmoins que, selon les précisions données le 16 décembre 2024 par l’expert, une activité adaptée devrait notamment relever d’un « domaine qui intéresse Monsieur à la base et pourrait retenir son attention ». Selon le recourant, l’exigence d’un tel intérêt serait par essence en contradiction avec l’un des symptômes du TDAH, soit un désinvestissement massif et involontaire rendant difficile la conservation d’un emploi, ce qui serait illustré par son parcours professionnel chaotique et rendrait totalement inexigible l’exercice d’une activité adaptée. Cette argumentation ne saurait être suivie en tant qu’elle repose sur la substitution d’un avis personnel à celui de l’expert sur une question médicale. D’ailleurs, le recourant omet de préciser que tant le Dr G______ que l’expert sont d’avis que le TDAH remonte à l’enfance et que même s’il n’a été formellement diagnostiqué qu’en 2017, ce trouble et les traits de personnalité émotionnellement labile, de type impulsif et narcissique (Z73.1), apparus au début de l’âge adulte, ne l’ont pas empêché d’exercer diverses activités lucratives entre 1988 et 2014 (dossier AI, doc. 78, p. 268). Ce parcours professionnel, même s’il est jalonné de nombreux changements d’employeurs, n’en contredit pas moins dans les faits le caractère prétendument inexigible de toute activité lucrative qu’entrainerait la présence du</w:t>
      </w:r>
    </w:p>
    <w:p>
      <w:r>
        <w:t>A/1943/2023 - 25/33 - TDAH (dans le même sens : arrêt du Tribunal fédéral 9C_454/2013 du 29 octobre 2013 consid. 4.2).</w:t>
      </w:r>
    </w:p>
    <w:p>
      <w:r>
        <w:rPr>
          <w:b/>
        </w:rPr>
        <w:t>E. 7.4</w:t>
      </w:r>
    </w:p>
    <w:p>
      <w:r>
        <w:t>Concernant enfin le début de l’incapacité de travail durable à 50% dans une activité adaptée, le SMR l’a d’abord fixé en fonction de la date du rapport du</w:t>
      </w:r>
    </w:p>
    <w:p>
      <w:r>
        <w:rPr>
          <w:b/>
        </w:rPr>
        <w:t>E. 11</w:t>
      </w:r>
    </w:p>
    <w:p>
      <w:r>
        <w:t>novembre 2021 du Dr G______ aurait en réalité visé une activité adaptée à 50% en milieu protégé, elle n’est pas pertinente non plus, étant donné que la simple divergence d’appréciation qu’elle exprimerait par rapport à la capacité de 50% sur le marché ordinaire du travail, retenue dans le rapport d’expertise, ne suffirait pas pour en remettre en cause les conclusions de ce rapport (ci-dessus : consid. 5.3.4). Cette remarque vaut également pour la différence d’appréciation relative à la symptomatologie du recourant, laquelle s’expliquerait uniquement par le TDAH pour le Dr G______ et par l’interaction de ce diagnostic avec celui de traits de personnalité émotionnellement labile, de type impulsif et narcissique (Z73.1) pour l’expert. La troisième divergence entre le Dr G______ et l’expert concerne l’exigibilité d’un traitement pharmacologique du TDAH, niée par le premier – en raison des antécédents d’infarctus du myocarde en 2018 – et admise par le second, ce dernier faisant valoir qu’il existe des alternatives à la Ritaline. Cette problématique ne nécessite toutefois pas d’être examinée plus avant, vu que d’une part, l’expert a évalué la capacité de travail du recourant à 50% dans une activité adaptée en l’absence de traitement par psychostimulants et que, d’autre part, la décision litigieuse se fonde sur cette appréciation médicale sans tenir compte de la possible amélioration qu’entrainerait un tel traitement.</w:t>
      </w:r>
    </w:p>
    <w:p>
      <w:r>
        <w:rPr>
          <w:b/>
        </w:rPr>
        <w:t>E. 12</w:t>
      </w:r>
    </w:p>
    <w:p>
      <w:r>
        <w:t>novembre 2019 du Dr E______ (avis du SMR du 6 septembre 2022), puis de celle du bilan de K ______ du 16 octobre 2017 (avis du SMR du 22 avril 2024). Étant donné que ce changement d’appréciation apparaît en cohérence avec l’objectivation du TDAH en octobre 2017 et que les parties s’y réfèrent également, la chambre de céans considérera qu’il est établi, au degré de la vraisemblance prépondérante, que le début de l’incapacité de travail durable à 50%, dans une activité adaptée, remonte à octobre 2017. 8. Le statut d’actif de l’assuré n’étant pas contesté et n’apparaissant pas contestable non plus, il reste à examiner son degré d’invalidité. 8.1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8.2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w:t>
      </w:r>
    </w:p>
    <w:p>
      <w:r>
        <w:t>A/1943/2023 - 26/33 -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 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du Tribunal fédéral 9C_434/2023 du 30 novembre 2023 consid. 3 et la référence). 8.3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w:t>
      </w:r>
    </w:p>
    <w:p>
      <w:r>
        <w:t>A/1943/2023 - 27/33 -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 8C_111/2021 du 30 avril 2021 consid. 4.2.1 et les références). Dans un arrêt de principe, le Tribunal fédéral a estimé qu’il n’existe pas de motifs sérieux et objectifs justifiant une modification de sa jurisprudence relative à l’application des ESS dans le cadre de la détermination du degré d’invalidité des assurés (ATF 148 V 174). 8.3.1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w:t>
      </w:r>
    </w:p>
    <w:p>
      <w:r>
        <w:t>A/1943/2023 - 28/33 -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destiné à la publication). Pour les personnes assurées qui, après la survenance de l’atteinte à la santé, ne peuvent plus effectuer que des travaux légers et non exigeants sur le plan intellectuel, il convient de se baser sur le salaire mensuel brut moyen (ligne « total ») des hommes (ou des femmes) pour des activités simples et répétitives, c’est-à-dire sur le niveau de compétence 1, qui est le plus bas (arrêt du Tribunal fédéral 8C_695/2015 du 19 novembre 2015 consid. 4.2 et les références ; cité in Ulrich MEYER/ Marco REICHMUTH, Rechtsprechung des Bundesgerichts zum Bundesgesetz über die Invalidenversicherung, 4e éd. 2022, n° 101 ad art. 28a LAI). 8.3.2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w:t>
      </w:r>
    </w:p>
    <w:p>
      <w:r>
        <w:t>A/1943/2023 - 29/33 -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8.4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 RCC 1989 p. 328 ; arrêts du Tribunal fédéral</w:t>
      </w:r>
    </w:p>
    <w:p>
      <w:r>
        <w:t>A/1943/2023 - 30/33 - 9C_286/2015 du 12 janvier 2016 consid. 4.2 ; 9C_659/2014 du 13 mars 2015 consid. 5.3.2). Le caractère irréaliste des possibilités de travail doit alors découler de l’atteinte à la santé – puisqu’une telle atteinte est indispensable à la reconnaissance d’une invalidité (art. 7 et 8 LPGA) – et non de facteurs psychosociaux ou socioculturels qui sont étrangers à la définition juridique de l’invalidité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8.5 Il ressort en l’espèce de la note du 14 octobre 2022 que l’OAI a déterminé le degré d’invalidité de l’assuré en comparant les revenus avec et sans invalidité en 2019, malgré une naissance du droit à la rente fixée au 1er novembre 2020 dans la décision litigieuse. Compte tenu cependant du début de l’incapacité de travail durable à 50% dès octobre 2017 (ci-dessus : consid. 7.4), le délai d’attente d’une année (art. 28 al. 1 let. c LAI) a certes pris fin en octobre 2018 mais le droit à la rente ne pouvait naître que six mois après le dépôt, le 9 novembre 2018, de la troisième demande, soit en mai 2019. Il s’ensuit que le choix de l’année 2019 pour effectuer la comparaison des revenus ne prête en définitive pas flanc à la critique. Pour le revenu sans invalidité, l’OAI s’est fondé sur le revenu de CHF 55'900.-, inscrit au compte individuel de l’assuré pour l’année 2001 (dossier AI, doc. 139, p. 438), montant qui correspondait au salaire réalisé avant l’atteinte à la santé auprès de l’entreprise J______, où l’assuré avait travaillé en qualité de chargé des commandes et des livraisons entre 2000 et 2001. Ce choix n’est pas contestable et l’indexation de ce revenu à 2019 selon le tableau T39 apparaît correcte, de sorte qu’on s’en tiendra à un revenu sans invalidité de CHF 66'980.- en 2019. S’agissant du revenu avec invalidité, l’OAI l’a déterminé en fonction de l’ESS 2018, soit à la lumière du tableau TA1, tirage « skill level » (secteur privé), en sélectionnant la ligne 49-53 (transports et entreposage) pour un homme dans une activité correspondant au niveau de compétence 1 (« CHF 5'861.- »). Au regard de l’absence d’activité lucrative depuis 2014, la référence à un salaire statistique, qui est correcte en soi, n’en comporte pas moins une double erreur. Premièrement, le revenu statistique correspondant n’est pas de CHF 5'861.- mais s’élève à CHF 5'171.-. Deuxièmement, la référence à la ligne 49-53, qui inclut l’activité habituelle de chauffeur-livreur/ transporteur du recourant (https://www.kubb- tool.bfs.admin.ch/fr/noga/2008/h), ne se justifie pas pour plusieurs raisons. Il en</w:t>
      </w:r>
    </w:p>
    <w:p>
      <w:r>
        <w:t>A/1943/2023 - 31/33 - résulterait, d’une part, une éventuelle contradiction avec l’appréciation médicale du SMR, retenant une capacité de travail nulle dans l’activité habituelle depuis 2002. D’autre part, au regard des limitations fonctionnelles préexistantes (activité légère épargnant le rachis et le membre supérieur droit depuis 2002) et nouvelles (activité exercée de préférence en solitaire ou au sein d’une petite équipe, sans sollicitation attentionnelle intense, dans un domaine investi par l’assuré) on ne voit pas pour quelle raison une activité dans un domaine autre que le transport et l’entreposage n’entrerait pas en ligne de compte. On rappellera à cet égard qu’il convient de se fonder, en règle générale, sur les salaires mensuels indiqués dans le tableau TA1, tirage « skill level » (secteur privé), plus particulièrement sur la ligne « total », le salaire statistique correspondant recouvrant un large éventail d’activités variées et non qualifiées, n’impliquant pas de formation particulière, et compatibles avec des limitations fonctionnelles peu contraignantes (ci-dessus : consid. 8.3). Les exceptions permettant de déroger à ce revenu statistique n’apparaissant pas réalisées en l’espèce, la chambre de céans se référera par conséquent à celui-ci. Selon l’ESS 2018, dans une activité de niveau 1, correspondant à la ligne « total », un homme pouvait réaliser un revenu de CHF 5'417.- en 2018, ce qui correspondait à CHF 5'647.- par mois (ou CHF 67'764.- par an) en tenant compte d’une durée normale de travail de 41.7 heures par semaine (5'417 x 41.7 / 40 = 5'647), respectivement CHF 68'334.- par an en 2019 après indexation selon l’ISS (67'764 x 2279 / 2260 = 68'334). En tenant compte, à l’instar du calcul du</w:t>
      </w:r>
    </w:p>
    <w:p>
      <w:r>
        <w:rPr>
          <w:b/>
        </w:rPr>
        <w:t>E. 14</w:t>
      </w:r>
    </w:p>
    <w:p>
      <w:r>
        <w:t>octobre 2022, d’un taux d’activité de 50% (soit CHF 34'167.-) et, cela fait, d’un abattement – ni critiqué ni critiquable – de 10%, le revenu avec invalidité se monte à CHF 30'750.-. En comparant ce montant avec le revenu sans invalidité indexé à 2019 (CHF 66'980.-), la perte de gain est de CHF 36'230.- (soit CHF 66'980.- sous déduction de CHF 30'750.-) et le degré d’invalidité de 54% [(66'980 – 30'750) x 100 / 66'980 = 54.09, arrondi à 54% ; ATF 130 V 121 consid 3.2], ce qui ouvre droit à une demi-rente d’invalidité dès le 1er mai 2019, conformément à l’art. 28 al. 2 LAI, en vigueur jusqu’au 31 décembre 2021, ici applicable (ci-dessus : consid. 3.1 et 3.2). 8.6 Dans ses observations du 16 janvier 2025, le recourant estime néanmoins que l’exigibilité de l’exercice à 50% d’une activité adaptée ne saurait être retenue tant que le service de réadaptation de l’OAI n’aura pas été sollicité en vue de déterminer l’existence ou non de suffisamment d’activités lucratives simples et répétitives adaptées à ses limitations fonctionnelles. Aussi conclut-il au renvoi de la cause à l’OAI pour instruction complémentaire à ce sujet. Ce moyen s’avère également infondé. On rappellera en effet que même lorsque l’office AI ne donne pas, à titre d’information, des exemples d’activités adaptées qu’un assuré peut encore exercer, le marché du travail n’en offre pas moins un éventail suffisamment large d’activités légères, dont on doit convenir qu’un nombre significatif sont adaptées aux limitations du recourant et accessibles sans</w:t>
      </w:r>
    </w:p>
    <w:p>
      <w:r>
        <w:t>A/1943/2023 - 32/33 - aucune formation particulière (ci-dessus : consid. 8.4). Pour le surplus, la présence additionnelle d’un TDAH et des limitations fonctionnelles qui en découlent ne modifient pas cette appréciation (dans le même sens : arrêt du Tribunal fédéral 9C_454/2013 du 29 octobre 2013 précité, consid. 4.2 et s.). 9. Compte tenu de ce qui précède, le recours est partiellement admis et la décision du 1er juin 2023 réformée, en ce sens que le recourant a droit à une demi-rente d’invalidité à partir du 1er mai 2019, basée sur un taux d’invalidité de 54%. 10.</w:t>
      </w:r>
    </w:p>
    <w:p>
      <w:r>
        <w:t>10.1 Obtenant partiellement gain de cause et étant assisté par un conseil, le recourant a droit à une indemnité à titre de participation à ses frais et dépens, que la chambre de céans fixera à CHF 1'500.- (art. 61 let. g LPGA ; art. 89H al. 3 LPA; art. 6 du règlement sur les frais, émoluments et indemnités en procédure administrative du 30 juillet 1986 [RFPA - E 5 10.03]). 10.2 La procédure n’étant pas gratuite (art. 69 al. 1bis LAI) et vu l’issue du litige, il y a lieu de condamner l’intimé au paiement d’un émolument de CHF 200.-.</w:t>
      </w:r>
    </w:p>
    <w:p>
      <w:r>
        <w:t>*****</w:t>
      </w:r>
    </w:p>
    <w:p>
      <w:r>
        <w:t>A/1943/2023 - 33/33 -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