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ATAS/520/2020 vom 25. Juni 2020</w:t>
      </w:r>
    </w:p>
    <w:p>
      <w:r>
        <w:t>GE Cour de justice, 2020-06-25, FR</w:t>
      </w:r>
    </w:p>
    <w:p>
      <w:r>
        <w:rPr>
          <w:b/>
        </w:rPr>
        <w:t xml:space="preserve">Quelle: </w:t>
      </w:r>
      <w:r>
        <w:t>https://mcp.opencaselaw.ch/entscheid/ge_gerichte_ATAS_520_2020</w:t>
      </w:r>
    </w:p>
    <w:p>
      <w:r>
        <w:t>FR: GE_GERICHTE ATAS/520/2020 du 25 juin 2020</w:t>
      </w:r>
    </w:p>
    <w:p>
      <w:r>
        <w:t>IT: GE_GERICHTE ATAS/520/2020 del 25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prescrits par la loi, le recours est recevable (art. 56 et 60 LPGA ; art. 89B de la loi sur la procédure administrative du 12 septembre 1985 - [LPA-GE - E 5 10]).</w:t>
      </w:r>
    </w:p>
    <w:p>
      <w:r>
        <w:rPr>
          <w:b/>
        </w:rPr>
        <w:t>E. 4</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En l’espèce, dans la décision attaquée, l’intimé a refusé d’accorder à l’assuré une rente d’invalidité et des mesures d’ordre professionnel. Dans son recours, l’assuré se limite à requérir l’octroi d’une rente, sans remettre en question le refus de l’intimé de lui accorder des mesures d’ordre professionnel. Est donc seul litigieux, devant la chambre de céans, son droit éventuel à une rente d’invalidité.</w:t>
      </w:r>
    </w:p>
    <w:p>
      <w:r>
        <w:rPr>
          <w:b/>
        </w:rPr>
        <w:t>E. 5</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w:t>
      </w:r>
    </w:p>
    <w:p>
      <w:r>
        <w:t>A/1338/2019 - 11/18 - à une demi-rente s’il est invalide à 50% au moins, ou à un quart de rente s’il est invalide à 40% au moins. En vertu de l'art. 29 al. 1 LAI, le droit à la rente prend naissance au plus tôt à l'échéance d'une période de six mois à compter de la date à laquelle l'assuré a fait valoir son droit aux prestations conformément à l'art. 29 al. 1 LPGA, mais pas avant le mois qui suit le dix-huitième anniversaire de l'assuré.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w:t>
      </w:r>
    </w:p>
    <w:p>
      <w:r>
        <w:t>A/1338/2019 - 12/18 -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w:t>
      </w:r>
    </w:p>
    <w:p>
      <w:r>
        <w:t>A/1338/2019 - 13/18 -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9</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Conformément au principe inquisitoire,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Le devoir d'instruction s'étend jusqu'à ce que les faits nécessaires à l'examen des prétentions en cause soient suffisamment élucidés (arrêt 8C_364/2007 du 19 novembre 2007 consid. 3.2).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 Un renvoi</w:t>
      </w:r>
    </w:p>
    <w:p>
      <w:r>
        <w:t>A/1338/2019 - 14/18 - reste possible notamment quand il est fondé uniquement sur une question restée complètement non instruite jusqu'ici, lorsqu'il s'agit de préciser un point de l'expertise ordonnée par l'administration ou de demander un complément à l'expert (ATF 137 V 210 consid. 4.4.1.4 ; SVR 2010 IV n. 49 p. 151, consid. 3.5 ; arrêt du Tribunal fédéral 9C_646/2010 du 23 février 2011 consid. 4).</w:t>
      </w:r>
    </w:p>
    <w:p>
      <w:r>
        <w:rPr>
          <w:b/>
        </w:rPr>
        <w:t>E. 11</w:t>
      </w:r>
    </w:p>
    <w:p>
      <w:r>
        <w:t>En l’espèce, la décision du 1er mars 2019, fondée sur l’expertise orthopédique réalisée par le Dr E______ en août 2016 et sur l’expertise psychiatrique effectuée par le Dr J______ en octobre 2018, retient que la capacité de travail de l’assuré est nulle, depuis juillet 2014, dans sa profession antérieure d’exportateur de voitures, mais entière, depuis février 2016, dans toute activité lucrative adaptée à ses limitations fonctionnelles. Au 1er mars 2016, six mois après le dépôt de sa demande (art. 29 al. 1 LAI), son degré d’invalidité était nul, partant insuffisant pour permettre l’octroi d’une rente d’invalidité ou de mesures d’ordre professionnel. De son côté, le recourant reproche à l’intimé d’avoir insuffisamment instruit son dossier en n’évaluant pas les répercussions sur sa capacité de travail de ses atteintes de la colonne vertébrale, de l’estomac et des yeux. En outre, il juge l’expertise du Dr J______ incomplète, dans la mesure où l’expert n’a pas précisé depuis quand l’on pouvait exiger de lui qu’il exerce à 100% une activité adaptée à ses limitations. Il ajoute que l’expert E______ n’a pas pu se prononcer sur l’influence du traitement qu’il a subi pour sa tumeur de l’estomac. S’agissant de ses médecins, il relève que la Dresse I______ a estimé sa capacité de travail à 50% depuis mai 2017, tandis que le Dr G______ l’a jugé incapable d’exercer la moindre activité professionnelle. Eu égard à ces éléments, le recourant estime que l’administration ne pouvait retenir une capacité résiduelle de travail de 100% dès le mois de février 2016. Il conclut principalement à l’octroi d’une rente d’invalidité et subsidiairement au renvoi de la cause à l’intimé pour instruction complémentaire.</w:t>
      </w:r>
    </w:p>
    <w:p>
      <w:r>
        <w:rPr>
          <w:b/>
        </w:rPr>
        <w:t>E. 12</w:t>
      </w:r>
    </w:p>
    <w:p>
      <w:r>
        <w:t>a. Sur le plan psychiatrique, la chambre de céans constate que l'intimé a instruit la cause de manière satisfaisante en ordonnant une expertise. L'expertise du Dr J______ est fondée sur une anamnèse complète, effectuée en connaissance du dossier médical, sur les indications subjectives de l'assurée, des observations cliniques, ainsi qu'une discussion détaillée, dont on précisera qu'elle reprend à juste titre la grille d'analyse prescrite par la jurisprudence en matière de troubles psychiques (ATF 143 V 418 consid. 6-7 ; ATF 141 V 281 consid. 4.3-4.4). En outre, ses conclusions sont motivées, de sorte qu'elle satisfait aux réquisits jurisprudentiels topiques en matière de valeur probante. b. Après avoir exposé que l’assuré avait développé, dès 2017, des troubles dépressifs moyens, puis légers, dont il a apprécié les éventuelles répercussions sur la capacité de travail à l’aune des indicateurs prescrits par la jurisprudence, l’expert J______ est parvenu à la conclusion que l’assuré présentait, depuis 2017, une pleine capacité de travail, y compris dans son activité antérieure, qui était adaptée. L’expert a en outre précisé que les troubles dépressifs (non incapacitants) avaient de bonnes chances de guérison, moyennant un changement d’antidépresseur. Il n'y</w:t>
      </w:r>
    </w:p>
    <w:p>
      <w:r>
        <w:t>A/1338/2019 - 15/18 - a pas lieu de s'écarter du point de vue de l’expert. Contrairement à ce que soutient le recourant, on ne saurait reprocher à l’expert d’avoir omis de fixer avec précision le moment à partir duquel une activité adaptée pouvait être exercée, dès lors qu’il ressort clairement de son rapport que les troubles dépressifs apparus dès 2017 n’ont pas entravé la capacité de travail, quelle que soit la profession envisagée. S’agissant de la psychiatre traitante, elle chiffre certes la capacité résiduelle de travail à 50% depuis mai 2017, soit depuis que le recourant l’a consultée. Toutefois, cette praticienne se livre à une simple appréciation divergente de la capacité de travail, sans faire état d’un quelconque élément objectif qui pourrait avoir été ignoré par l’expert J______. Il n’y a donc pas lieu de s’écarter des conclusions de l’expert-psychiatre. C’est le lieu de rappeler que pour remettre en cause la valeur probante d'une expertise médicale, il ne suffit pas de prétendre que l'expert(e) aurait dû logiquement présenter des conclusions différentes. Pour qu'il en aille différemment, il appartient à la partie recourante de mettre en évidence des éléments objectivement vérifiables - de nature notamment clinique ou diagnostique - qui auraient été ignorés et qui seraient suffisamment pertinents pour en remettre en cause le bien-fondé (arrêt du Tribunal fédéral 9C_584/2011 du 12 mars 2012 consid. 2.3).</w:t>
      </w:r>
    </w:p>
    <w:p>
      <w:r>
        <w:rPr>
          <w:b/>
        </w:rPr>
        <w:t>E. 13</w:t>
      </w:r>
    </w:p>
    <w:p>
      <w:r>
        <w:t>a. Sur le plan somatique, il convient de rappeler que dans sa demande de prestations, l'assuré avait fait valoir une fracture du plateau tibial du genou gauche. Afin d’en évaluer les répercussions sur sa capacité de travail, l’intimé a confié une expertise au Dr E______, lequel a examiné l’assuré le 25 août 2016. b. La chambre de céans constate que cette expertise satisfait, d’un point de vue formel, aux réquisits jurisprudentiels permettant de lui reconnaître pleine valeur probante, dès lors qu’elle repose sur un examen complet des membres inférieurs, effectué en connaissance du dossier médical, que le Dr E______ a tenu compte des plaintes de l’assuré et qu’il a motivé ses conclusions. Sur ce point, il convient de relever que si l’expert a jugé « délicat » d’évaluer depuis quand l’exercice d’une profession adaptée pouvait être exigé – compte tenu du fait qu’un traitement de physiothérapie était toujours en cours – il a néanmoins indiqué que l’exercice d’une activité professionnelle en position assise était « actuellement » possible, à condition que l’assuré puisse accéder à son poste de travail avec ses cannes. On peut en déduire qu’à la date à laquelle il a été expertisé, soit le 25 août 2016, le recourant disposait d’une pleine capacité de travail dans toute activité adaptée à ses troubles du genou gauche. c. Certes, l’intimé a retenu que l’assuré était pleinement capable d’exercer toute activité adaptée dès le mois de février 2016 déjà, en se fondant sur un très bref rapport émanant du Dr C______. Toutefois, on ne saurait considérer que l’assuré était alors déjà pleinement capable d’exercer une activité adaptée, puisque dans son rapport de février 2016, le Dr C______ a jugé prématuré de se prononcer sur une reprise d’activité professionnelle. De surcroît, dans un rapport subséquent établi en</w:t>
      </w:r>
    </w:p>
    <w:p>
      <w:r>
        <w:t>A/1338/2019 - 16/18 - mars 2016 et exempt de toute motivation, le Dr C______ n’a envisagé l’exercice d’une activité adaptée qu’à partir du mois de juin 2016 (à 50%). La chambre de céans retiendra donc que c’est depuis le 25 août 2016, date de l’expertise du Dr E______ (et non depuis le 2 février 2016), que l’assuré a recouvré une pleine capacité de travail dans toute activité adaptée à ses limitations.</w:t>
      </w:r>
    </w:p>
    <w:p>
      <w:r>
        <w:rPr>
          <w:b/>
        </w:rPr>
        <w:t>E. 14</w:t>
      </w:r>
    </w:p>
    <w:p>
      <w:r>
        <w:t>a. Cela étant, postérieurement à l’expertise du Dr E______, l’état de santé somatique du recourant pourrait s’être aggravé, dès lors que des troubles lombaires semblent s’être ajoutés aux problèmes du genou gauche, le dossier ne permettant toutefois pas en l’état de se prononcer sur ce point. En effet, il ressort notamment d’un rapport du Dr F______, daté du 6 avril 2017, que l’assuré a souffert d’un syndrome radiculaire au niveau L5. Dans son rapport du 7 avril 2017, le Dr B______ a confirmé l’existence d’une lombosciatalgie gauche, avec atteinte sensitivo-moteur L5. Par ailleurs, il ressort d’un bilan IRM du Dr M______ que l’assuré s’est vu diagnostiquer, le 30 janvier 2019, une discopathie dégénérative modérée (D10-D11 ; D11-D12 et D12-L1), avec des protrusions disco- ostéophytaires postérieures, ainsi qu’une arthrose interapophysaire postérieure bilatérale (L4-L5). Cette éventuelle aggravation de l’état de santé est intervenue avant que l’intimé ne rende sa décision, en date du 1er mars 2019, et n’a pas été instruite par ce dernier. Or, selon la jurisprudence, le juge des assurances sociales apprécie la légalité des décisions attaquées, en règle générale, d’après l'état de fait existant au moment où la décision litigieuse a été rendue (ATF 121 V 366 consid. 1b et les références). Par la suite, il n’est pas exclu que des aggravations subséquentes soient intervenues, dès lors que l’assuré a été opéré, en janvier 2020, d’une hernie inguinale. Au vu de ce qui précède, il y a lieu de renvoyer le dossier à l’intimé pour qu’il complète l’instruction – au moyen d’un complément d’expertise, voire d’une nouvelle expertise – au sujet de l’évolution de l’état de santé du recourant et de sa capacité de travail postérieurement au 25 août 2016, date de l’expertise du Dr E______, notamment en ce qui concerne ses atteintes dorsales. b. En revanche, contrairement à ce que voudrait le recourant, il n’apparaît a priori pas nécessaire d’étendre ce complément d’instruction aux atteintes dont il se prévaut au niveau de l’estomac et des yeux, puisque son propre médecin généraliste, le Dr B______, a conclu qu’elles étaient sans répercussion sur la capacité de travail. Ce praticien l’a d’ailleurs confirmé à l’occasion d’un entretien téléphonique avec le SMR (cf. rapport du Dr B______ du 19 septembre 2015 et avis du SMR du 23 février 2017). c. À défaut d’instruction complète par l’intimé, la chambre de céans n’est pas en mesure de statuer définitivement sur la capacité de travail, partant sur le degré d’invalidité et le droit aux prestations. Il se justifie en conséquence d’admettre partiellement le recours, d’annuler la décision du 1er mars 2019 et de renvoyer la cause à l’intimé pour qu’il complète l’instruction dans le sens qui précède, puis rende une nouvelle décision.</w:t>
      </w:r>
    </w:p>
    <w:p>
      <w:r>
        <w:t>A/1338/2019 - 17/18 -</w:t>
      </w:r>
    </w:p>
    <w:p>
      <w:r>
        <w:rPr>
          <w:b/>
        </w:rPr>
        <w:t>E. 15</w:t>
      </w:r>
    </w:p>
    <w:p>
      <w:r>
        <w:t>Le recourant obtenant partiellement gain de cause, une indemnité de CHF 1'500.- lui est accordée à titre de participation à ses frais et dépens, à charge de l'intimé (art. 61 let. g LPGA ; art. 89H al. 3 LPA ; art. 6 du règlement sur les frais, émoluments et indemnités en procédure administrative du 30 juillet 1986 - RFPA ; RS E 5 10.03).</w:t>
      </w:r>
    </w:p>
    <w:p>
      <w:r>
        <w:rPr>
          <w:b/>
        </w:rPr>
        <w:t>E. 16</w:t>
      </w:r>
    </w:p>
    <w:p>
      <w:r>
        <w:t>La procédure de recours en matière de contestation portant sur l’octroi ou le refus de prestations de l’assurance-invalidité étant soumise à des frais de justice, un émolument de CHF 300.- est mis à charge de l’intimé (art. 69 al. 1 bis LAI). ******</w:t>
      </w:r>
    </w:p>
    <w:p>
      <w:r>
        <w:t>A/1338/2019 - 18/18 -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