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ATAS/520/2013 vom 16. Mai 2013</w:t>
      </w:r>
    </w:p>
    <w:p>
      <w:r>
        <w:t>GE Cour de justice, 2013-05-16, FR</w:t>
      </w:r>
    </w:p>
    <w:p>
      <w:r>
        <w:rPr>
          <w:b/>
        </w:rPr>
        <w:t xml:space="preserve">Quelle: </w:t>
      </w:r>
      <w:r>
        <w:t>https://mcp.opencaselaw.ch/entscheid/ge_gerichte_ATAS_520_2013</w:t>
      </w:r>
    </w:p>
    <w:p>
      <w:r>
        <w:t>FR: GE_GERICHTE ATAS/520/2013 du 16 mai 2013</w:t>
      </w:r>
    </w:p>
    <w:p>
      <w:r>
        <w:t>IT: GE_GERICHTE ATAS/520/2013 del 16 maggio 2013</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3</w:t>
      </w:r>
    </w:p>
    <w:p>
      <w:r>
        <w:t>En l’occurrence, la demanderesse se prévaut de l'art. 5 ch. 3 de la Convention de Lugano - qui prévoit qu'une personne domiciliée sur le territoire d'un état lié par la Convention peut être poursuivie dans un autre état lié par la convention en matière délictuelle ou quasi délictuelle devant le tribunal du lieu où le fait dommageable s'est produit. Elle se prévaut également de l'art. 36 CPC - qui désigne notamment le tribunal du lieu de l'acte du résultat pour statuer sur les actions fondées sur un acte illicite. L’action intentée par la demanderesse est donc bel et bien une demande en réparation du dommage pour acte illicite au sens du code des obligations, de sorte que le litige ne ressort pas des assurances complémentaires et ne relève donc pas de la compétence de la Cour de céans mais bien de celle du juge civil puisque la LCA n'est pas directement applicable au cas d'espèce, même s'il y a bien eu rapport d'assurance entre les parties. Par conséquent, la Cour de céans étant incompétente à raison de la matière, la demande est irrecevable.</w:t>
      </w:r>
    </w:p>
    <w:p>
      <w:r>
        <w:t>A/37/2013 - 4/4 -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