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ATAS/51/2025 vom 29. Januar 2025</w:t>
      </w:r>
    </w:p>
    <w:p>
      <w:r>
        <w:t>GE Cour de justice, 2025-01-29, FR</w:t>
      </w:r>
    </w:p>
    <w:p>
      <w:r>
        <w:rPr>
          <w:b/>
        </w:rPr>
        <w:t xml:space="preserve">Quelle: </w:t>
      </w:r>
      <w:r>
        <w:t>https://mcp.opencaselaw.ch/entscheid/ge_gerichte_ATAS_51_2025</w:t>
      </w:r>
    </w:p>
    <w:p>
      <w:r>
        <w:t>FR: GE_GERICHTE ATAS/51/2025 du 29 janvier 2025</w:t>
      </w:r>
    </w:p>
    <w:p>
      <w:r>
        <w:t>IT: GE_GERICHTE ATAS/51/2025 del 29 gennaio 2025</w:t>
      </w:r>
    </w:p>
    <w:p>
      <w:pPr>
        <w:pStyle w:val="Heading2"/>
      </w:pPr>
      <w:r>
        <w:t>Erwägungen</w:t>
      </w:r>
    </w:p>
    <w:p>
      <w:r>
        <w:rPr>
          <w:b/>
        </w:rPr>
        <w:t>E. 11</w:t>
      </w:r>
    </w:p>
    <w:p>
      <w:r>
        <w:t>avril 2024 de la Dre G______ était largement lacunaire, sans connaissance complète du dossier médical ni entretien avec l’assuré. Elle ne se prononçait à tort que sur des questions de droit et aucune force probante ne pouvait lui être accordée. Ses conclusions étaient totalement contradictoires à celles des spécialistes qui l’avaient examiné. e. Le 18 septembre 2024, l’intimée a persisté dans ses conclusions. Même si l’appréciation de la Dr G______ du 11 avril 2024 était relativement succincte, elle se fondait sur l’ensemble du dossier médical du recourant et en particulier sur les avis émis par des spécialistes qu’il avait consultés ainsi que sur l’imagerie médicale. L’examen du recourant par la Dr G______ n’aurait pas permis de mieux cerner sa situation sur le plan médical. La discussion était claire et très cohérente. Cette appréciation comportait les éléments essentiels permettant de lui voir reconnaître une valeur probante suffisante. Le rapport médical du Dr C______ ne résistait en revanche pas à l’examen. Le recourant ayant échoué dans sa tentative visant à mettre à mal appréciation médical de la Dr G______, sa requête visant à une expertise médicale devait être rejetée. f. Le 1er octobre 2024, le recourant a fait valoir que l’avis de la Dre G______ ne pouvait être assimilé à une expertise au sens de l’art. 44 LPGA. Compte tenu des avis de ses médecins traitants, il convenait d’ordonner une expertise médicale.</w:t>
      </w:r>
    </w:p>
    <w:p>
      <w:r>
        <w:t>A/2113/2024 - 6/13 - EN DROIT 1.</w:t>
      </w:r>
    </w:p>
    <w:p>
      <w:r>
        <w:t>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 1.2 Interjeté dans la forme et le délai prévus par la loi, le recours est prima facie recevable (art. 56 et 60 de la LPGA; art. 89B de la loi sur la procédure administrative du 12 septembre 1985 [LPA-GE - E 5 10]) 2. Le litige porte sur le bien-fondé de la décision de l’intimée de mettre fin à ses prestations au recourant liées à l’événement du 6 février 2023 au 30 octobre 2023. 3.</w:t>
      </w:r>
    </w:p>
    <w:p>
      <w:r>
        <w:t>3.1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A/2113/2024 - 7/13 -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 traumatique » ne suffit pas, à elle seule, à reconnaître un lien de causalité entre un accident et des troubles. En effet, on peut entendre par une affection « post- traumatique » des troubles qui ne sont pas causés par l'accident mais qui ne sont apparus qu'après l'accident (arrêt du Tribunal fédéral 8C_493/2023 du 6 février 2024 consid. 4.2 et la référence). 3.2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arrêt du Tribunal fédéral 8C_331/2024 du 29 novembre 2024 consid. 4.2).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w:t>
      </w:r>
    </w:p>
    <w:p>
      <w:r>
        <w:t>A/2113/2024 - 8/13 - 8C_481/2019 du 7 mai 2020 consid. 3.4 ; 8C_97/2019 du 5 août 2019 consid. 4.3.1. et 4.3.2 ; 8C_473/2017 du 21 février 2018 consid. 5). 3.3 Un second événement accidentel, non assuré, peut donner lieu à une obligation de prester de la part de l'assureur-accidents compétent pour le premier accident pour autant que le second constitue la conséquence adéquate du premier (ATF 148 V 356 consid. 6.2 et 6.3 et les références). L'admission de la causalité adéquate suppose, en tout cas, que l'état antérieur post-traumatique ait conduit à un risque accru d'accident (ATF 148 V 356 consid. 7.3.1).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w:t>
      </w:r>
    </w:p>
    <w:p>
      <w:r>
        <w:rPr>
          <w:b/>
        </w:rPr>
        <w:t>E. 16</w:t>
      </w:r>
    </w:p>
    <w:p>
      <w:r>
        <w:t>novembre 2023 consid. 6.1 et les références). 3.4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w:t>
      </w:r>
    </w:p>
    <w:p>
      <w:r>
        <w:t>A/2113/2024 - 9/13 -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3.5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w:t>
      </w:r>
    </w:p>
    <w:p>
      <w:r>
        <w:t>A/2113/2024 - 10/13 - des spécialistes en matière de traumatologie, indépendamment de leur spécialisation médicale (arrêt du Tribunal fédéral 8C_626/2021 du 19 janvier 2022 consid. 4.3.1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 3.6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w:t>
      </w:r>
    </w:p>
    <w:p>
      <w:r>
        <w:t>A/2113/2024 - 11/13 -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4. En l’espèce, l’intimée a mis fin à ses prestations au 30 octobre 2023, en se fondant sur l’appréciation de la Dre G______ qui travaille pour elle. Dans ce cas de figure, un doute même minime sur la fiabilité et la validité de ses constatations, il y a lieu de procéder à des investigations complémentaires, selon la jurisprudence précitée. La Dre G______ a intitulé son rapport de « Brève appréciation » et il ne répond manifestement pas aux réquisits permettant de lui reconnaître une pleine force probante, dans la mesure où ses conclusions ne sont pas fondées sur les plaintes du recourant, une anamnèse détaillée, ni un examen clinique. La Dre G______ répondait seulement à quelques questions qui lui étaient posées par le gestionnaire du dossier. Ce rapport n’établit donc pas, à tout le moins au degré de la vraisemblance prépondérante, que l’incident du 6 février 2023 n’était plus causal, ne serait-ce que partiellement, des douleurs du recourant à la cheville droite au-delà du 30 octobre 2023. La Dre G______ se référait à l'évolution prévisible d’une contusion, d'une manière abstraite et théorique, ce qui ne suffit pas pour établir, au degré de la vraisemblance prépondérante, l'extinction du lien de causalité de l’atteinte persistante à la cheville du recourant et l'accident en cause, selon la jurisprudence précitée. Il n’est en outre pas convaincant dans la mesure où la Dre G______ y indiquait que le bilan radiologique effectué par les HUG le 30 octobre 2023 permettait d’écarter une atteinte traumatique et mettait en évidence une arthrose de la tibiotalienne, ce qui ne correspond pas à la teneur ce rapport. Celui-ci mentionnait en effet qu’il ressortait de la radiographie du 30 octobre 2023 que la plaque postérieure était intègre et sans déplacement secondaire et qu’il n’y avait pas d’augmentation du médial clear space avec un diastasis de 4-5 mm, comparable au cliché de de contrôle. S’agissant du SPECT-CT, réalisé à l’extérieur, il mettait en évidence une hypercaptation au niveau de la cheville droite et parlait en faveur d’une contusion osseuse. Une surface articulaire irrégulière en potentiel rapport avec un remodelé arthrosique avait en outre été notée. Le 18 mars 2024, le Dr F______ a indiqué que l’assurée décrivait toujours une stabilité des douleurs et qu’un traitement par infiltration de l’articulation</w:t>
      </w:r>
    </w:p>
    <w:p>
      <w:r>
        <w:t>A/2113/2024 - 12/13 - tibiotalienne allait être effectué pour vérifier si les douleurs étaient causées par l’arthrose post-traumatique présentée par le recourant. Même si l’utilisation du terme post-traumatique par le Dr F______ n’est pas forcément déterminante, elle suffit à jeter un doute sur l’origine des douleurs persistantes du recourant à la cheville droite. Tel est également le cas s’agissant du rapport établi le 15 mai 2024 par le Dr C______, qui indiquait que l’accident du 2 février 2023 était clairement identifié comme étant la cause des limitations actuelles du recourant et de sa perte de rentabilité dans son travail. Au vu de l’instruction insuffisante du cas, il se justifie de renvoyer la cause à l’intimée pour qu’elle mettre en œuvre une expertise indépendante. 5. S’agissant de la demande d’apport de la procédure de l’assurance-invalidité, il n’y sera pas donné suite en l’état, dès lors que le litige portant sur la question de la causalité, qui est spécifique à la LAA et qui n’est pas examinée par l’office de l’assurance-invalidité, sous réserve toutefois d’une appréciation contraire de l’expert qui sera désigné. 6. Au vu de ce qui précède, le recours sera partiellement admis, la décision du 24 juin 2024 annulée et la cause renvoyée à l’intimée pour instruction complémentaire, au sens des considérants. Le recourant obtenant partiellement gain de cause et étant assisté d’un conseil, une indemnité de CHF 2’000.- lui sera accordée à titre de participation à ses frais et dépens et mise à la charge de l’intimée (art. 61 let. g LPGA; art. 6 du règlement sur les frais, émoluments et indemnités en matière administrative du 30 juillet 1986 [RFPA - E 5 10.03]). Pour le surplus, la procédure est gratuite (art. 61 let. fbis LPGA a contrario).</w:t>
      </w:r>
    </w:p>
    <w:p>
      <w:r>
        <w:t>A/2113/2024 - 13/13 -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