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ATAS/51/2016 vom 27. Januar 2016</w:t>
      </w:r>
    </w:p>
    <w:p>
      <w:r>
        <w:t>GE Cour de justice, 2016-01-27, FR</w:t>
      </w:r>
    </w:p>
    <w:p>
      <w:r>
        <w:rPr>
          <w:b/>
        </w:rPr>
        <w:t xml:space="preserve">Quelle: </w:t>
      </w:r>
      <w:r>
        <w:t>https://mcp.opencaselaw.ch/entscheid/ge_gerichte_ATAS_51_2016</w:t>
      </w:r>
    </w:p>
    <w:p>
      <w:r>
        <w:t>FR: GE_GERICHTE ATAS/51/2016 du 27 janvier 2016</w:t>
      </w:r>
    </w:p>
    <w:p>
      <w:r>
        <w:t>IT: GE_GERICHTE ATAS/51/2016 del 27 gennaio 2016</w:t>
      </w:r>
    </w:p>
    <w:p>
      <w:pPr>
        <w:pStyle w:val="Heading2"/>
      </w:pPr>
      <w:r>
        <w:t>Erwägungen</w:t>
      </w:r>
    </w:p>
    <w:p>
      <w:r>
        <w:rPr>
          <w:b/>
        </w:rPr>
        <w:t>E. 26</w:t>
      </w:r>
    </w:p>
    <w:p>
      <w:r>
        <w:t>Le 4 décembre 2015, la chambre de céans a informé les parties qu’elle entendait demander un complément d’expertise aux experts mandatés et leur a communiqué les questions complémentaires et fixé un délai pour se prononcer à cet égard.</w:t>
      </w:r>
    </w:p>
    <w:p>
      <w:r>
        <w:rPr>
          <w:b/>
        </w:rPr>
        <w:t>E. 27</w:t>
      </w:r>
    </w:p>
    <w:p>
      <w:r>
        <w:t>Le 8 décembre 2015, la recourante a communiqué des questions complémentaires.</w:t>
      </w:r>
    </w:p>
    <w:p>
      <w:r>
        <w:rPr>
          <w:b/>
        </w:rPr>
        <w:t>E. 28</w:t>
      </w:r>
    </w:p>
    <w:p>
      <w:r>
        <w:t>Le 17 décembre 2015, l’intimé s’est opposé à la réalisation d’un complément d’expertise, tout en indiquant subsidiairement qu’il n’avait pas de questions supplémentaires à poser.</w:t>
      </w:r>
    </w:p>
    <w:p>
      <w:r>
        <w:t>- 12/23-</w:t>
      </w:r>
    </w:p>
    <w:p>
      <w:r>
        <w:t>A/1428/2013</w:t>
      </w:r>
    </w:p>
    <w:p>
      <w:r>
        <w:rPr>
          <w:b/>
        </w:rPr>
        <w:t>E. 29</w:t>
      </w:r>
    </w:p>
    <w:p>
      <w:r>
        <w:t>La chambre de céans a retenu les questions complémentaires suggérées par la recourante dans la mesure de leur pertinence et a complété dans ce sens le questionnaire aux experts.</w:t>
      </w:r>
    </w:p>
    <w:p>
      <w:r>
        <w:t>EN DROIT 1. Dans la mesure où la compétence de la chambre de céans a été examinée dans l’ordonnance d’expertise du 14 avril 2014, il y a lieu de s’y référer. 2. 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3.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w:t>
      </w:r>
    </w:p>
    <w:p>
      <w:r>
        <w:t>- 13/23-</w:t>
      </w:r>
    </w:p>
    <w:p>
      <w:r>
        <w:t>A/1428/2013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4. 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Les principes jurisprudentiels développés en matière de troubles somatoformes douloureux sont également applicables à la fibromyalgie (ATF 132 V 65 consid. 4.1).</w:t>
      </w:r>
    </w:p>
    <w:p>
      <w:r>
        <w:t>- 14/23-</w:t>
      </w:r>
    </w:p>
    <w:p>
      <w:r>
        <w:t>A/1428/2013 5. 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et ATF 131 V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 132 V 65 consid. 4.2). En présence de tels syndromes, la mission d'expertise consistait surtout à porter une appréciation sur la vraisemblance de l'état douloureux et, le cas échéant, à déterminer si la personne expertisée disposait des ressources psychiques lui permettant de surmonter cet état. Eu égard à la mission confiée, les experts failliraient à celle-ci s'ils ne tenaient pas compte des différents critères mis en évidence par le Tribunal fédéral dans le cadre de leur appréciation médicale (ATF 132 V 65 consid. 4.2 et 4.3). 6. Dans un arrêt récent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ATF 131 V 49;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w:t>
      </w:r>
    </w:p>
    <w:p>
      <w:r>
        <w:t>- 15/23-</w:t>
      </w:r>
    </w:p>
    <w:p>
      <w:r>
        <w:t>A/1428/2013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w:t>
      </w:r>
    </w:p>
    <w:p>
      <w:r>
        <w:t>- 16/23-</w:t>
      </w:r>
    </w:p>
    <w:p>
      <w:r>
        <w:t>A/1428/2013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w:t>
      </w:r>
    </w:p>
    <w:p>
      <w:r>
        <w:t>- 17/23-</w:t>
      </w:r>
    </w:p>
    <w:p>
      <w:r>
        <w:t>A/1428/2013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7.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w:t>
      </w:r>
    </w:p>
    <w:p>
      <w:r>
        <w:t>- 18/23-</w:t>
      </w:r>
    </w:p>
    <w:p>
      <w:r>
        <w:t>A/1428/2013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8.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SVR 2010 IV n. 49 p. 151, consid. 3.5; arrêt du Tribunal fédéral 8C_760/2011 du 26 janvier 2012 consid. 3).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w:t>
      </w:r>
    </w:p>
    <w:p>
      <w:r>
        <w:t>- 19/23-</w:t>
      </w:r>
    </w:p>
    <w:p>
      <w:r>
        <w:t>A/1428/2013 une évaluation concluante à la lumière des indicateurs déterminants. Suivant le degré et l’ampleur de clarification nécessaire, un complément ponctuel peut dans certaines circonstances suffire (ATF 141 V 281 consid. 8) Lorsqu’une expertise ne répond pas suffisamment aux questions auxquelles il faut répondre, selon la nouvelle jurisprudence en lien avec les troubles somatoformes douloureux, le Tribunal fédéral a expressément laissé la possibilité d’un renvoi à l’administration afin que soient posées les questions complémentaires à l’expert (ATF 141 V 281 consid. 8). 9. a. En l’espèce, les Drs N______ et O______ ont établi un rapport d’expertise en date du 19 février 2015, dans lequel ils ont fait état d’une capacité de travail de 80% sur le plan rhumatologique, avec éventuellement une diminution de rendement de 20% en raison de l’état dépressif léger. A titre de diagnostics, ces médecins ont notamment retenu ceux d’arthrose digitale, de douleurs chroniques dans l’avant- pied droit dans le contexte d’un status après fracture–luxation survenue lors d’un accident le 18 août 2004 et fibromyalgie ainsi que de trouble dépressif récurrent, épisode actuel léger sans syndrome somatique. Force est de constater que le rapport du 19 février 2015 fait l’objet d’une étude circonstanciée des points litigieux. Il se fonde sur des examens complets et prend en considération les plaintes exprimées par la recourante. Il est établi en pleine connaissance de l’anamnèse. La description du contexte médical et l’appréciation de la situation médicale sont claires. Cela étant, la chambre de céans constate également que les experts n’ont pas évoqué certaines atteintes pourtant mentionnées par les médecins traitants et le SMR, soit : − s’agissant de l’atteinte à l’épaule : conflit sous-acromial chronique, sans rupture de la coiffe des rotateurs, fibrose d’adaptation des tendons de la coiffe gauche et calcification de l’insertion profonde proximale du sus-épineux et épaississement réactionnel de la capsule articulaire gléno-humérale et de ses ligaments (échographie de l’épaule gauche du 21 janvier 2011), périarthrite scapulo- humérale (rapport du Dr F______ du 7 février 2011) ; lésions dégénératives au niveau de l’articulation acromio-claviculaire (scintigraphie osseuse du 16 juin 2011) ; omalgie bilatérale dans un contexte de syndrome de la coiffe des rotateurs avec tendinopathie et capsulite rétractile partielle à droite (rapport du SMR du 14 septembre 2011) ; − concernant l’atteinte au dos : tassements L4-L5 (rapport de la Dresse L______ du 26 avril 2011 notamment), troubles statiques avec dysbalance musculaire et discopathie débutante associée à une arthrose débutante inter-facettaire postérieure prédominant à gauche (rapport du SMR du 14 septembre 2011).</w:t>
      </w:r>
    </w:p>
    <w:p>
      <w:r>
        <w:t>- 20/23-</w:t>
      </w:r>
    </w:p>
    <w:p>
      <w:r>
        <w:t>A/1428/2013 Par ailleurs, dans son courrier du 2 octobre 2013, le Dr M______ a expliqué que notamment les atteintes articulaires, lesquelles avaient été confirmées par l’imagerie, montraient le bien-fondé des plaintes évoquées par la recourante mais que celles-ci pouvaient être majorées par l’état dépressif fluctuant et le syndrome douloureux persistant. Dans la mesure où dans son ordonnance d’expertise du 14 avril 2014, la chambre de céans a invité les experts à commenter et discuter les avis médicaux du SMR et des médecins traitants, et que tel n’a pas été le cas, l’expertise doit être considérée comme étant lacunaire. Par conséquent, le Dr N______ sera invité à expliquer pour quels motifs il n’a pas retenu de diagnostics autres que la fibromyalgie s’agissant des atteintes au rachis et à l’épaule. b. La chambre de céans constate également que, alors même que les atteintes retenues étaient similaires, le Dr N______ a retenu moins de limitations fonctionnelles au niveau des mains que le SMR, lequel a mentionné les suivantes : les atteintes aux membres supérieurs et aux mains interdisaient les activités nécessitant un rendement imposé au niveau des deux mains (pas de période de frappe supérieure à une demi-heure sans possibilité de pauses de une à deux heures entre chaque période de frappe, pas d’activité nécessitant une motricité fine et en force des deux mains, pas d’activité nécessitant un rendement imposé au niveau des deux mains, pas d’activité d’antépulsion au-delà de 60° de façon répétitive et occasionnelle au-delà de 90°). Dans ces circonstances, l’expert rhumatologue sera invité à se prononcer sur les limitations fonctionnelles retenues par le SMR, en indiquant s’il y adhère et, dans la négative, les raisons qui le poussent à s’en écarter. c. A cela s’ajoute le fait qu’alors même que le rapport d’expertise mentionne le diagnostic de fibromyalgie, il n’examine à aucun moment si les critères de Meyer- Blaser permettent de retenir le caractère invalidant de la fibromyalgie. Dans cette mesure, le rapport d’expertise du 19 février 2015 est lacunaire et doit être complété. Cela étant, dans son ATF 141 V 281, le Tribunal fédéral a modifié sa jurisprudence en matière de trouble somatoforme douloureux, applicable par analogie en matière de fibromyalgie. Désormais, la capacité de travail réellement exigible des personnes concernées doit être évaluée dans le cadre d'une procédure d'établissement des faits structurée, à la lumière des circonstances du cas particulier et sans résultat prédéfini. Cette jurisprudence s’appliquant notamment aux procédures en cours, le Dr O______ devra compléter son rapport d’expertise en prenant en considération les nouveaux critères mentionnés précédemment. d. Pour tous ces motifs, l’expertise du 19 février 2015 devra être complétée par les Drs N______ et O______.</w:t>
      </w:r>
    </w:p>
    <w:p>
      <w:r>
        <w:t>- 21/23-</w:t>
      </w:r>
    </w:p>
    <w:p>
      <w:r>
        <w:t>A/1428/2013 PAR CES MOTIFS, LA CHAMBRE DES ASSURANCES SOCIALES : Statuant préparatoirement 1. Ordonne un complément d’expertise psychiatrique et rhumatologique de Madame A______. 2. Commet à ces fins les docteurs O______, spécialiste FMH en psychiatrie et psychothérapie, et N______, spécialiste FMH en rhumatologie. 3. Charge les experts de compléter leur rapport d’expertise du 19 février 2015 en répondant, de manière détaillée, aux questions suivantes : 1. Les plaintes de la recourante s’agissant du rachis et de l’épaule sont- elles objectivées ? 2. Dans l’affirmative, pour quels motifs n’avez-vous pas retenu de diagnostics y relatifs ? 3. Dans tous les cas, dans quelle mesure les atteintes diagnostiquées, notamment dans l’expertise du 14 février 2015,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recourante). 4.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 5. Dans l’affirmative, considérez-vous que cela suffise à exclure une atteinte à la santé significative ? 6. Quels ont été les traitements entrepris et avec quel succès (évolution et résultats des thérapies) ? 7. La recourante a-t-elle fait preuve de résistance à l’égard des traitements proposés ? La compliance est-elle bonne ? 8. Dans quelle mesure les traitements ont-ils été mis à profit ou négligés ?</w:t>
      </w:r>
    </w:p>
    <w:p>
      <w:r>
        <w:t>- 22/23-</w:t>
      </w:r>
    </w:p>
    <w:p>
      <w:r>
        <w:t>A/1428/2013 9. Les limitations du niveau d’activité sont-elles uniformes dans tous les domaines (professionnel mais aussi personnel) ? Quel est le niveau d’activité sociale et comment a-t-il évolué depuis la survenance de l’atteinte à la santé ? 10. Pour quels motifs les limitations fonctionnelles retenues dans l’expertise du 15 février 2015 sont-elles moins importantes que celles mentionnées par le SMR dans son rapport du 14 septembre 2013 ? Veuillez détailler et motiver votre réponse. 11. Mentionner globalement les conséquences des divers diagnostics retenus sur la capacité de travail de la recourante, en pourcent, a) dans l’activité habituelle b) dans une activité adaptée. 12. S'agissant plus particulièrement des troubles psychiques, répondre aux questions suivantes : a) Quel est le degré de gravité de chacun des troubles diagnostiqués (faible, moyen, grave) ? b) Les troubles psychiques constatés nécessitent-ils une prise en charge spécialisée ? La recourante bénéficie-t-elle d’un traitement adéquat ? c) Existe-t-il un trouble de la personnalité ou, une altération des capacités inhérentes à la personnalité ?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Motiver votre position. d) De quelles ressources mobilisables la recourante dispose-t-elle ? e) Quel est le contexte social ? La recourante peut-elle compter sur le soutien de ses proches ? f) Pour le cas où il y aurait refus ou mauvaise acceptation d’une thérapie recommandée et accessible : cette attitude doit-elle être attribuée à une incapacité de la recourante à reconnaître sa maladie ? g) Dans l’ensemble, le comportement de la recourante vous semble-t- il cohérent ? Pourquoi ?</w:t>
      </w:r>
    </w:p>
    <w:p>
      <w:r>
        <w:t>- 23/23-</w:t>
      </w:r>
    </w:p>
    <w:p>
      <w:r>
        <w:t>A/1428/2013 13. Toute remarque utile et proposition des experts. 4. Invite les experts à faire une appréciation consensuelle du cas s’agissant de toutes les problématiques ayant des interférences entre-elles, notamment l’appréciation de la capacité de travail résiduelle. 5. Invite les experts à déposer à leur meilleure convenance un rapport complémentaire en trois exemplaires à la chambre de céans. 6. Réserve le fond.</w:t>
      </w:r>
    </w:p>
    <w:p>
      <w:r>
        <w:t>La greffière</w:t>
      </w:r>
    </w:p>
    <w:p>
      <w:r>
        <w:t>Isabelle CASTILLO</w:t>
      </w:r>
    </w:p>
    <w:p>
      <w:r>
        <w:t>La présidente</w:t>
      </w:r>
    </w:p>
    <w:p>
      <w:r>
        <w:t>Juliana BALDÉ</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