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ATAS/519/2025 vom 30. Juni 2025</w:t>
      </w:r>
    </w:p>
    <w:p>
      <w:r>
        <w:t>GE Cour de justice, 2025-06-30, FR</w:t>
      </w:r>
    </w:p>
    <w:p>
      <w:r>
        <w:rPr>
          <w:b/>
        </w:rPr>
        <w:t xml:space="preserve">Quelle: </w:t>
      </w:r>
      <w:r>
        <w:t>https://mcp.opencaselaw.ch/entscheid/ge_gerichte_ATAS_519_2025</w:t>
      </w:r>
    </w:p>
    <w:p>
      <w:r>
        <w:t>FR: GE_GERICHTE ATAS/519/2025 du 30 juin 2025</w:t>
      </w:r>
    </w:p>
    <w:p>
      <w:r>
        <w:t>IT: GE_GERICHTE ATAS/519/2025 del 30 giugno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 Aux termes de l’art. 73 LPP, chaque canton désigne un tribunal qui connaît, en dernière instance cantonale, des contestations opposant institutions de prévoyance, employeurs et ayants droit (al. 1, 1ère phrase). Le for de l’action est au siège ou domicile suisse du défendeur ou au lieu de l’exploitation dans lequel l’assuré a été engagé (al. 3).</w:t>
      </w:r>
    </w:p>
    <w:p>
      <w:r>
        <w:rPr>
          <w:b/>
        </w:rPr>
        <w:t>E. 1.2</w:t>
      </w:r>
    </w:p>
    <w:p>
      <w:r>
        <w:t>En l’espèce, la présente cause oppose une institution de prévoyance professionnelle à une employeuse, dont le siège se situe dans le canton de Genève, en lien avec les cotisations dues par ce dernier. Sa compétence pour juger du cas d’espèce est ainsi établie.</w:t>
      </w:r>
    </w:p>
    <w:p>
      <w:r>
        <w:rPr>
          <w:b/>
        </w:rPr>
        <w:t>E. 1.3</w:t>
      </w:r>
    </w:p>
    <w:p>
      <w:r>
        <w:t>L’ouverture de l’action prévue à l’art. 73 al. 1 LPP n’est soumise, comme telle, à l’observation d’aucun délai (Raymond SPIRA, Le contentieux des assurances sociales fédérales et la procédure cantonale, in Recueil de jurisprudence neuchâteloise 1984, p. 19 ; Hans Rudolf SCHWARZENBACH- HANHART, Die Rechtspflege nach dem BVG, SZS 1983, p. 182).</w:t>
      </w:r>
    </w:p>
    <w:p>
      <w:r>
        <w:t>A/3712/2024 - 6/12 - La demande respecte en outre la forme prévue à l’art. 89B de la loi sur la procédure administrative du 12 septembre 1985 (LPA - E 5 10) qui régit la procédure en matière de prévoyance professionnelle à Genève. Partant, elle est recevable.</w:t>
      </w:r>
    </w:p>
    <w:p>
      <w:r>
        <w:rPr>
          <w:b/>
        </w:rPr>
        <w:t>E. 2.1</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par l’assuré (arrêt du Tribunal fédéral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B 59/03 du 30 décembre 2003 consid. 4.1).</w:t>
      </w:r>
    </w:p>
    <w:p>
      <w:r>
        <w:rPr>
          <w:b/>
        </w:rPr>
        <w:t>E. 2.2</w:t>
      </w:r>
    </w:p>
    <w:p>
      <w:r>
        <w:t>Le litige porte sur porte sur le bien-fondé de la demande du 7 novembre 2024.</w:t>
      </w:r>
    </w:p>
    <w:p>
      <w:r>
        <w:rPr>
          <w:b/>
        </w:rPr>
        <w:t>E. 3.1</w:t>
      </w:r>
    </w:p>
    <w:p>
      <w:r>
        <w:t>La LPP institue un régime d’assurance obligatoire des salariés (art. 2 al. 1 LPP). Sont obligatoirement soumis à l’assurance les salariés auxquels un même employeur verse un salaire annuel supérieur à CHF 22’050.- pour les risques de décès et d’invalidité dès le 1er janvier qui suit la date à laquelle ils ont eu 17 ans et, pour la vieillesse, dès le 1er janvier qui suit la date à laquelle ils ont eu 24 ans (art. 7 al. 1 LPP, dans sa teneur en vigueur au 1er janvier 2023).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1ère phrase LPP).</w:t>
      </w:r>
    </w:p>
    <w:p>
      <w:r>
        <w:t>A/3712/2024 - 7/12 -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les intérêts moratoires (art. 105 al. 3 CO ; RSAS 2003 p. 500 consid. 6.1). L’art. 105 al. 3 CO interdit la composition (anatocisme) de l’intérêt moratoire : le créancier ne peut en principe pas faire courir un (nouvel) intérêt moratoire sur une dette d’intérêt moratoire déjà échue par une (nouvelle interpellation), ni même par une poursuite ou une demande en justice. En vertu de la loi, l’intérêt moratoire est donc un intérêt simple, et non un intérêt composé, ce que le créancier ne peut modifier unilatéralement. Les parties peuvent cependant convenir d’ajouter l’intérêt moratoire échu au capital et faire courir l’intérêt sur le tout : il s’agit en principe d’une novation (cf. art. 116 CO), c’est-à-dire d’une convention portant ici sur une dette d’intérêt déjà échue (cf. Luc THÉVENOZ, in THÉVENOZ/WERRO [éd.], Commentaire romand – Code des obligations I, 3e éd. 2021, n. 6 et s. ad art. 105 et les références). En l’occurrence, le ch. 5.4 al. 3, 1ère phrase du contrat d’affiliation prévoit que tout solde en faveur de la fondation à la fin d’une année, ainsi que les intérêts débiteurs, sont reportés à l’année civile suivante à titre de créance en capital.</w:t>
      </w:r>
    </w:p>
    <w:p>
      <w:r>
        <w:rPr>
          <w:b/>
        </w:rPr>
        <w:t>E. 3.2</w:t>
      </w:r>
    </w:p>
    <w:p>
      <w:r>
        <w:t>L’employeur transfère à l’institution de prévoyance sa contribution ainsi que les cotisations des salariés au plus tard à la fin du premier mois suivant l’année civile ou l’année d’assurance pour laquelle les cotisations sont dues (art. 66 al. 4 LPP). L’échéance du délai prévue à l’art. 66 al. 4 LPP est un terme fixe au sens de l’art. 102 al. 2 CO. Une règle analogue se trouve également à l’art. 331 al. 3 CO. Il s’agit là d’un délai qualifié. Partant, le débiteur est mis en demeure par la seule expiration de ce délai. Il n’est pas nécessaire que l’institution de prévoyance procède à une mise en demeure. Après écoulement du délai légal, l’institution de prévoyance a le droit de procéder au recouvrement des cotisations arriérées auprès de l’employeur par la voie de la poursuite. L’art. 66 al. 4 LPP n’empêche toutefois par l’institution de prévoyance de prévoir une disposition réglementaire. Celle-ci</w:t>
      </w:r>
    </w:p>
    <w:p>
      <w:r>
        <w:t>A/3712/2024 - 8/12 - ne doit cependant pas violer la réglementation légale (Jürg BRECHBÜHL/ Maya GECKELER HUNZIKER, in Jacques-André SCHNEIDER/ Thomas GEISER/ Thomas GÄCHTER [éd.], Commentaire LPP et LFLP, 2e éd. 2020, n. 35 ad art. 66). En l’occurrence, sous la section 5 (« Paiement des cotisations/Échéance »), le ch. 5.3 du contrat d’affiliation de la défenderesse dispose que les contributions pour les prestations de risque, celles pour l’adaptation de celles-ci à l’évolution des prix et celles pour les frais ainsi que les contributions éventuelles perçues par la fondation pour la constitution des provisions techniques sont payables au début de l’année, respectivement dès l’admission d’un collaborateur à la prévoyance du personnel ou à la date d’une mutation en cours d’année. Les bonifications de vieillesse ainsi que les contributions au fonds de garantie viennent à échéance en fin d’année et, en cas de sortie, à la date à laquelle la dissolution des rapports de travail devient effective, en cas de décès, à la date du décès, et, en cas de diminution du salaire en dessous de la limite d’admission réglementaire, à la date à laquelle l’assurance prend fin.</w:t>
      </w:r>
    </w:p>
    <w:p>
      <w:r>
        <w:rPr>
          <w:b/>
        </w:rPr>
        <w:t>E. 3.3</w:t>
      </w:r>
    </w:p>
    <w:p>
      <w:r>
        <w:t>Les institutions de prévoyance ont des frais administratifs, pour le financement desquels elles peuvent prévoir des cotisations et adopter des dispositions dans leurs règlements (cf. art. 65 al. 3 LPP et 48a de l’ordonnance sur la prévoyance professionnelle vieillesse, survivants et invalidité, du 18 avril 1984 [OPP 2 - RS 831.441.1] ; Jürg BRECHBÜHL/ Lara FRETZ/ Maya GECKELER HUNZIKER, in Jacques-André SCHNEIDER/ Thomas GEISER/ Thomas GÄCHTER, Commentaire LPP et LFLP, 2020, n. 35ss. ad art. 65 LPP et n. 5ss. ad art. 66 LPP ; cf. aussi ATAS/1055/2021 du 13 octobre 2021 consid. 5d). En l’occurrence, le règlement des frais, auquel renvoie le ch. 2.1 du contrat d’affiliation, prévoit des frais pour « travaux administratifs spéciaux », entre autres pour une sommation par lettre signature (CHF 300.-), une réquisition de poursuite (CHF 500.-) ou le travail occasionné à la fondation par le non-respect des obligations de coopération par l’entreprise affiliée (CHF 500.- ; cf. ch. 2.1 du règlement des frais).</w:t>
      </w:r>
    </w:p>
    <w:p>
      <w:r>
        <w:rPr>
          <w:b/>
        </w:rPr>
        <w:t>E. 3.4</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déterminée selon l’art. 66 al. 4 LPP (cf. ci-dessus : consid. 3.2). Avant l’entrée en vigueur de cette dernière disposition (au 1er janvier 2005), les règles d’échéance réglementaires et contractuelles étaient</w:t>
      </w:r>
    </w:p>
    <w:p>
      <w:r>
        <w:t>A/3712/2024 - 9/12 - seules déterminantes (Sylvie PÉTREMAND in Jacques-André SCHNEIDER/ Thomas GEISER/ Thomas GÄCHTER [éd.], Commentaire LPP et LFLP, 2e éd. 2020, n. 23 et 29 ad art. 66). Dans la mesure où en l’espèce, les créances impayées les plus anciennes sont arrivées à échéance en 2023 selon l’extrait de compte du 9 octobre 2024, la demande du 7 novembre 2024 est intervenue dans le délai de prescription de cinq ans.</w:t>
      </w:r>
    </w:p>
    <w:p>
      <w:r>
        <w:rPr>
          <w:b/>
        </w:rPr>
        <w:t>E. 3.5</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La partie qui déclenche l’ouverture de la procédure détermine ainsi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 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(Carl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w:t>
      </w:r>
    </w:p>
    <w:p>
      <w:r>
        <w:t>A/3712/2024 - 10/12 -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 En l’occurrence, le commandement de payer a été notifié à la défenderesse le 2 octobre 2024, date à laquelle le délai de péremption d’un an a commencé à courir (ATF 125 III 45 consid. 3b). Par conséquent, la poursuite n’était pas périmée lorsque la demanderesse a saisi la chambre de céans, le 7 novembre 2024.</w:t>
      </w:r>
    </w:p>
    <w:p>
      <w:r>
        <w:rPr>
          <w:b/>
        </w:rPr>
        <w:t>E. 3.6</w:t>
      </w:r>
    </w:p>
    <w:p>
      <w:r>
        <w:t>En sa qualité d’employeuse occupant des salariés, la défenderesse devait être affiliée à une caisse de prévoyance professionnelle. La défenderesse a signé un contrat d’affiliation le 11 mai 2023, entré en vigueur (rétroactivement) le 1er avril 2023 et ayant pris fin le 1er septembre 2024. En sa qualité d’employeuse, la défenderesse était donc tenue de verser les primes convenues avec la demanderesse durant cette période.</w:t>
      </w:r>
    </w:p>
    <w:p>
      <w:r>
        <w:rPr>
          <w:b/>
        </w:rPr>
        <w:t>E. 3.7</w:t>
      </w:r>
    </w:p>
    <w:p>
      <w:r>
        <w:t>La somme de CHF 9’443.95 réclamée dans la demande correspond au montant de CHF 9’307.95 arrêté au 10 septembre 2024 – ressortant de l’extrait de compte du 9 octobre 2024 –, incluant les primes impayées pour les années 2023 et 2024, des frais de rappel, des frais administratifs et les intérêts de l’année 2023 convertis en capital au 31 décembre 2023, majoré des intérêts ayant couru du 1er janvier au 18 septembre 2024 pour un total de CHF 136.- (cf. pièce 10). La défenderesse n’a formulé aucune remarque au sujet de ces décomptes, dont le montant est établi par les divers documents fournis par la demanderesse. La chambre de céans observera en particulier que les cotisations retenues ont été déterminées sur la base du salaire annoncé. Les différents frais retenus par la demanderesse sont effectivement prévus au ch. 2.1 du règlement des frais, de sorte que celle-ci était en droit de les retenir sans avoir à démontrer l’ampleur du dommage subi. S’agissant des intérêts sur la créance en capital de CHF 9'443.95, ils sont dus en vertu des art. 66 al. 2 et 104 al. 1 CO, étant précisé qu’en application du ch. 5.4 al. 3 précité du contrat d’affiliation, la créance de CHF 9'443.95 inclut l’intérêt moratoire échu (CHF 136.-) converti en capital.</w:t>
      </w:r>
    </w:p>
    <w:p>
      <w:r>
        <w:t>A/3712/2024 - 11/12 - Quant aux « Fr. de som./ Fr. de adm. » (sic), à hauteur de CHF 500.-, s’ajoutant à la créance de CHF 9’443.95, ils sont certes mentionnés dans le commandement de payer, poursuite n° 1______. En tout état, la justification de ce montant à la lumière du règlement des frais – point que la demanderesse n’explicite pas – peut rester indécise dans la mesure où les conclusions de la demande ne s’étendent pas à ces frais de CHF 500.- et concernent uniquement le paiement de la créance en capital de CHF 9’443.95.- avec intérêts à 5% à partir du 18 septembre 2024 et le prononcé de la mainlevée définitive à concurrence de cette créance. La mainlevée définitive de l’opposition au commandement de payer, poursuite n° 1______ sera ainsi prononcée à concurrence de CHF 9’443.95.-, avec intérêts à 5% l’an dès le 18 septembre 2024. En ce qui concerne les frais de poursuite, ils sont d’office supportés par le débiteur lorsque la poursuite aboutit (JdT 1974 III 32). Il n’y a donc pas lieu de prononcer la mainlevée définitive pour les frais du commandement de payer, dont le sort suit celui de la poursuite (art. 68 LP ; arrêt du Tribunal fédéral 5A_8/2008 du 11 avril 2008 consid. 4).</w:t>
      </w:r>
    </w:p>
    <w:p>
      <w:r>
        <w:rPr>
          <w:b/>
        </w:rPr>
        <w:t>E. 4</w:t>
      </w:r>
    </w:p>
    <w:p>
      <w:r>
        <w:t>La demanderesse conclut également à ce que la défenderesse soit condamnée aux frais et dépens de la procédure. À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En l’espèce, la chambre de céans de céans constate que la demanderesse n’est pas représentée par un mandataire professionnellement qualifié, il ne lui sera dès lors pas octroyé de dépens. *****</w:t>
      </w:r>
    </w:p>
    <w:p>
      <w:r>
        <w:t>A/3712/2024 - 12/12 -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