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ATAS/519/2022 vom 8. Juni 2022</w:t>
      </w:r>
    </w:p>
    <w:p>
      <w:r>
        <w:t>GE Cour de justice, 2022-06-08, FR</w:t>
      </w:r>
    </w:p>
    <w:p>
      <w:r>
        <w:rPr>
          <w:b/>
        </w:rPr>
        <w:t xml:space="preserve">Quelle: </w:t>
      </w:r>
      <w:r>
        <w:t>https://mcp.opencaselaw.ch/entscheid/ge_gerichte_ATAS_519_2022</w:t>
      </w:r>
    </w:p>
    <w:p>
      <w:r>
        <w:t>FR: GE_GERICHTE ATAS/519/2022 du 8 juin 2022</w:t>
      </w:r>
    </w:p>
    <w:p>
      <w:r>
        <w:t>IT: GE_GERICHTE ATAS/519/2022 del 8 giugno 2022</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w:t>
      </w:r>
    </w:p>
    <w:p>
      <w:r>
        <w:rPr>
          <w:b/>
        </w:rPr>
        <w:t>E. 2.1</w:t>
      </w:r>
    </w:p>
    <w:p>
      <w:r>
        <w:t>Le 1er janvier 2021, est entrée en vigueur la modification du 21 juin 2019 de la LPGA.</w:t>
      </w:r>
    </w:p>
    <w:p>
      <w:r>
        <w:t>A/3362/2021 - 8/18 -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w:t>
      </w:r>
    </w:p>
    <w:p>
      <w:r>
        <w:rPr>
          <w:b/>
        </w:rPr>
        <w:t>E. 2.2</w:t>
      </w:r>
    </w:p>
    <w:p>
      <w:r>
        <w:t>Déposé après le 1er janvier 2021, le recours sera donc traité sous l'angle du nouveau droit de la LPGA (cf. ATAS/360/2021 du 15 avril 2021 consid. 3).</w:t>
      </w:r>
    </w:p>
    <w:p>
      <w:r>
        <w:rPr>
          <w:b/>
        </w:rPr>
        <w:t>E. 3</w:t>
      </w:r>
    </w:p>
    <w:p>
      <w:r>
        <w:t>Le délai de recours est de trente jours (art. 56 et 60 LPGA ; art. 62 al. 1 let. a de la loi sur la procédure administrative du 12 septembre 1985 [LPA - E 5 10]). Interjeté dans les forme et délai prévus par la loi, le présent recours est recevable.</w:t>
      </w:r>
    </w:p>
    <w:p>
      <w:r>
        <w:rPr>
          <w:b/>
        </w:rPr>
        <w:t>E. 4</w:t>
      </w:r>
    </w:p>
    <w:p>
      <w:r>
        <w:t>Le litige porte sur la prise en charge par l’assurance obligatoire des soins du médicament Dormicum tel que prescrit au recourant par le Dr C______.</w:t>
      </w:r>
    </w:p>
    <w:p>
      <w:r>
        <w:rPr>
          <w:b/>
        </w:rPr>
        <w:t>E. 5</w:t>
      </w:r>
    </w:p>
    <w:p>
      <w:r>
        <w:t>En premier lieu, il convient d’examiner les griefs de nature formelle, dès lors que leur admission pourrait conduire à l'annulation de la décision attaquée sans examen du litige sur le fond (ATF 127 V 431 consid. 3d/aa ; ATF 124 V 90 consid. 2).</w:t>
      </w:r>
    </w:p>
    <w:p>
      <w:r>
        <w:rPr>
          <w:b/>
        </w:rPr>
        <w:t>E. 5.1</w:t>
      </w:r>
    </w:p>
    <w:p>
      <w:r>
        <w:t>Le recourant a tout d’abord fait valoir une notification irrégulière de la décision initiale et de la décision sur opposition, au motif que ces documents avaient été signés par des personnes qui ne sont pas autorisées à représenter l’intimée, selon les inscriptions figurant au registre du commerce.</w:t>
      </w:r>
    </w:p>
    <w:p>
      <w:r>
        <w:rPr>
          <w:b/>
        </w:rPr>
        <w:t>E. 5.1.1</w:t>
      </w:r>
    </w:p>
    <w:p>
      <w:r>
        <w:t>L’art. 49 al. 1 LPGA et 34 al. 1 de la loi fédérale sur la procédure administrative du 20 décembre 1968 (PA - RS 172.021) stipulent que les assureurs notifient leurs décisions par écrit. Cela implique que les décisions administratives soient motivées, et qu'elles indiquent les voies de droit (art. 49 al. 3 et 52 al. 2 LPGA ; art. 34 et 35 PA). La notification irrégulière d’une décision ne doit entraîner aucun préjudice pour l’intéressé (art. 49 al. 3 LPGA), sous peine d'être considérée comme nulle (François BELLANGER, in Éléments de procédure administrative, p. 68 ss). Le droit fédéral n'exige pas une obligation générale de signature en ce qui concerne les décisions relevant du droit des assurances sociales et une telle exigence ne découle pas du principe de la forme écrite (art. 49 al. 1 LPGA ; arrêt du Tribunal fédéral 8C_434/2019 du 8 octobre 2019 consid. 2.2 ; arrêt 8C_434/2017 du Tribunal fédéral du 3 janvier 2018 consid. 5.2 et les références).</w:t>
      </w:r>
    </w:p>
    <w:p>
      <w:r>
        <w:rPr>
          <w:b/>
        </w:rPr>
        <w:t>E. 5.1.2</w:t>
      </w:r>
    </w:p>
    <w:p>
      <w:r>
        <w:t>En l'espèce, la décision initiale du 3 mai 2021 et la décision sur opposition du 7 septembre 2021 ont été rendues par écrit, de sorte que le défaut de notification soulevé par le recourant peut d'emblée être écarté. À toutes fins utiles, il sera encore relevé que, sur la base de l'en-tête utilisé dans les deux décisions et des autres indications qu’elles comportent, notamment la</w:t>
      </w:r>
    </w:p>
    <w:p>
      <w:r>
        <w:t>A/3362/2021 - 9/18 - signature de deux collaborateurs, il ne faisait aucun doute qu’elles émanaient de l'intimée, ce qui permet de conclure à un effet juridique externe, et ce même si les signataires ne sont pas inscrits au Registre du commerce. Qui plus est, l’intimée a produit une attestation signée le 8 novembre 2021 par deux directeurs de l’intimée, lesquels disposent d’une signature collective à deux [cf. Mutuel Assurance Maladie SA, Martigny | Direction (business-monitor.ch)], aux termes de laquelle procuration était donnée aux quatre personnes ayant signé les décisions des 3 mai et 7 septembre 2021 pour établir toutes correspondances nécessaires, dont des décisions formelles. Que cette procuration ne mentionne pas d’effet rétroactif est irrelevant, toute usurpation de compétence par une personne extérieure à l’intimée devant manifestement être écartée. Enfin, même si les collaborateurs mentionnés dans la procuration n'avaient pas été autorisés à signer la décision attaquée, cela n’entraînerait de toute façon pas sa nullité, dès lors que le recourant ne fait pas valoir qu'il aurait subi un préjudice en raison de l'erreur de notification alléguée.</w:t>
      </w:r>
    </w:p>
    <w:p>
      <w:r>
        <w:rPr>
          <w:b/>
        </w:rPr>
        <w:t>E. 5.1.3</w:t>
      </w:r>
    </w:p>
    <w:p>
      <w:r>
        <w:t>Partant, le grief du recourant n'est pas fondé.</w:t>
      </w:r>
    </w:p>
    <w:p>
      <w:r>
        <w:rPr>
          <w:b/>
        </w:rPr>
        <w:t>E. 5.2</w:t>
      </w:r>
    </w:p>
    <w:p>
      <w:r>
        <w:t>Dans un second moyen, le recourant a invoqué une violation de son droit d’être entendu, au motif que les décisions étaient fondées sur l’avis du médecin- conseil de l’intimée qui ne lui avait jamais été communiqué, et qu’elles étaient insuffisamment motivées.</w:t>
      </w:r>
    </w:p>
    <w:p>
      <w:r>
        <w:rPr>
          <w:b/>
        </w:rPr>
        <w:t>E. 5.2.1</w:t>
      </w:r>
    </w:p>
    <w:p>
      <w:r>
        <w:t>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La jurisprudence a déduit du droit d'être entendu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La jurisprudence a également déduit du droit d'être entendu, tel qu'il est garanti par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 ATF 126 I 15 consid. 2a/aa). Pour répondre à ces exigences, il suffit que l'autorité mentionne au moins brièvement les motifs qui l'ont guidée et sur lesquels elle a fondé sa décision ; elle n'a toutefois pas l'obligation d'exposer et de discuter tous les arguments invoqués par les parties. Il n'y a violation du droit d'être entendu que si l'autorité ne satisfait pas à son devoir minimum d'examiner les problèmes pertinents (ATF 129 I 232 consid. 3.2 ; ATF 126 I 97 consid. 2b). La motivation d'une décision est suffisante lorsque l'intéressé est mis en mesure</w:t>
      </w:r>
    </w:p>
    <w:p>
      <w:r>
        <w:t>A/3362/2021 - 10/18 - d'en apprécier la portée et de la déférer à une instance supérieure en pleine connaissance de cause (ATF 122 IV 14 consid. 2c). Il suffit que l'autorité mentionne au moins brièvement les motifs qui l'ont guidée et sur lesquels elle a fondé son prononcé, sans qu'elle soit tenue de répondre à tous les arguments avancés (SJ 1994 p. 163 consid. 1b). La motivation peut d'ailleurs être implicite et résulter des différents considérants de la décision (ATF 141 V 557 consid. 3.2.1 ; arrêt du Tribunal fédéral 9C_603/2015 du 25 avril 2016). En règle générale, l'étendue de l'obligation de motiver dépend de la complexité de l'affaire à juger, de la liberté d'appréciation dont jouit l'autorité et de la potentielle gravité des conséquences de sa décision (cf. ATF 112 Ia 107 consid. 2b). Le juge n’a pas à se prononcer sur tous les arguments juridiques soulevés, tant que la motivation permet de comprendre le raisonnement juridique suivi (ATF 135 III 670 consid. 3.3.1 ; arrêt du Tribunal fédéral 2C_782/2020 du 26 mai 2021 consid. 3.3).</w:t>
      </w:r>
    </w:p>
    <w:p>
      <w:r>
        <w:rPr>
          <w:b/>
        </w:rPr>
        <w:t>E. 5.2.2</w:t>
      </w:r>
    </w:p>
    <w:p>
      <w:r>
        <w:t>En l’occurrence, par courrier du 17 février 2021, l’intimée a indiqué au médecin traitant du recourant qu’elle entendait limiter la prise en charge du Dormicum, conformément à la posologie maximale validée par Swissmedic. Cette correspondance a été transmise au recourant, qui a sollicité la notification d’une décision formelle. L’intimée lui a alors adressé la décision du 3 mai 2021, laquelle fait référence à plusieurs dispositions légales et réglementaires, ainsi qu’à un avis de son médecin-conseil, et expose les raisons pour lesquelles tout dépassement de la posologie maximale validée par Swissmedic ne peut être pris en charge par l’assurance obligatoire des soins. Le 14 mai 2021, l’intéressé a formé opposition, relevant que seul le Dormicum lui permettait de survivre et qu’il avait reçu, jusqu’à la récente décision, un traitement par agonistes opioïdes qui lui avait été très bénéfique. Il n’a pas demandé à pouvoir consulter son dossier, ni à recevoir une copie du rapport du médecin-conseil. Suite à cette contestation, l’intimée a derechef sollicité l’avis de son médecin-conseil avant de rendre la décision litigieuse, qui rappelle à nouveau les motifs fondant sa détermination. Force est donc de constater que le droit à une décision motivée est respecté et que le recourant a été en mesure d'apprécier la portée de la décision litigieuse et de la déférer à la chambre de céans en pleine connaissance de cause, comme en atteste le contenu de ses écritures. Pour le surplus, le recourant n’a pas demandé à pouvoir prendre connaissance des rapports du médecin-conseil, dont le second du</w:t>
      </w:r>
    </w:p>
    <w:p>
      <w:r>
        <w:rPr>
          <w:b/>
        </w:rPr>
        <w:t>E. 5.2.3</w:t>
      </w:r>
    </w:p>
    <w:p>
      <w:r>
        <w:t>Compte tenu de ces éléments, aucune violation du droit d’être entendu ne saurait être retenue. 6. En ce qui concerne la recevabilité de l’écriture de réponse de l’intimée, la chambre de céans rappellera brièvement au recourant qu’elle a effectivement prolongé le délai pour répondre au 1er décembre 2021, ce dont elle l’a dûment informé par courrier du 27 octobre 2021. Pour le surplus, ni le droit fédéral, ni le droit cantonal n’exige que l’écriture de réponse soit munie d’une signature (cf. art. 73 LPA-GE). 7. Selon l’art. 24 al. 1 LAMal, l’assurance obligatoire des soins prend en charge les coûts des prestations définies aux art. 25 à 31 LAMal en tenant compte des conditions des art. 32 à 34 LAMal. Cette dernière disposition stipule notamment que les assureurs ne peuvent pas prendre en charge, au titre de l’assurance obligatoire des soins, d’autres coûts que ceux des prestations prévues aux art. 25 à 33 LAMal. D’après l'art. 25 LAMal, l'assurance obligatoire de soins prend en charge les coûts des prestations qui servent à diagnostiquer ou à traiter une maladie et ses séquelles (al. 1). Ces prestations comprennent notamment les médicaments prescrits par un médecin (al. 2 let. b). Aux termes de l'art. 32 LAMal, les prestations mentionnées aux art. 25 à 31 doivent être efficaces, appropriées et économiques. L’efficacité doit être démontrée selon des méthodes scientifiques (al. 1). L’efficacité, l’adéquation et le caractère économique des prestations sont réexaminés périodiquement (al. 2). 7.1 Une prestation est efficace lorsqu'on peut objectivement en attendre le résultat thérapeutique visé par le traitement de la maladie, à savoir la suppression la plus complète possible de l'atteinte à la santé somatique ou psychique (ATF 130 V 532 consid. 2.2 ; ATF 128 V 159 consid. 5c/aa). L'efficacité d’un médicament – soit son utilité thérapeutique – doit être démontrée de manière scientifique. À cet égard, il ne suffit pas de se fonder sur les résultats concrets du traitement dans un cas isolé mais bien d'apprécier l'efficacité des résultats obtenus par un traitement de manière générale et non en fonction d'un cas isolé. En sus des méthodes purement scientifiques, on peut également se fonder par exemple sur des statistiques. L'essai clinique est la méthode la plus fiable pour amener la preuve de l'efficacité, mais les effets d'une thérapie doivent pouvoir être constatés de manière objective, le résultat doit être reproductible, et le lien de causalité entre l'agent thérapeutique et son effet doit être démontré (ATF 133 V 115 consid. 3.2.1).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w:t>
      </w:r>
    </w:p>
    <w:p>
      <w:r>
        <w:t>A/3362/2021 - 12/18 - est clairement établie, le caractère approprié de la prestation l'est également (ATF 125 V 99 consid. 4a ;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 RAMA 2004 n° KV 272 p. 111 consid. 3.1.2). 7.2 Sur la base de la délégation de compétence de l’art. 33 al. 1 et 5 LAMal, le Conseil fédéral, soit pour lui le Département fédéral de l’intérieur, a établi la liste des prestations fournies par des médecins dont les coûts ne sont pas à la charge de l’assurance obligatoire ou ne le sont qu’à certaines conditions (art. 33 let. a de l’ordonnance sur l'assurance-maladie du 27 juin 1995 (OAMal - RS 832.102) ; art. 1 de l'ordonnance du Département fédéral de l’intérieur sur les prestations dans l’assurance obligatoire des soins en cas de maladie du 29 septembre 1995 [OPAS - RS 832.112.31] et son annexe 1). 7.3 Conformément à l'art. 52 al. 1 let. b LAMal (en corrélation avec les art. 34 et 37e OAMal), l'Office fédéral de la santé publique, après avoir consulté la Commission fédérale des médicaments et conformément aux principes des art. 32 al. 1 et 43 al. 6 LAMal, établit une liste, avec des prix, des préparations pharmaceutiques et des médicaments confectionnés (liste des spécialités, annexe 4 de l'OPAS). Aux termes de l'art. 73 OAMal, l'admission dans une liste peut être assortie d'une limitation ; celle-ci peut notamment se rapporter à la quantité ou aux indications médicales. De telles limitations constituent des instruments de contrôle de l'économicité et non pas une forme de rationalisation des prestations. Elles ont également pour but d'exclure ou de limiter la possibilité d'utiliser de manière abusive des médicaments de la liste des spécialités (arrêt du Tribunal fédéral 9C_912/2010 du 31 octobre 2011 consid. 3.4 et les références). La liste des spécialités a un caractère à la fois exhaustif et contraignant. La prise en charge par l'assurance-maladie obligatoire d'une prestation correspondant à une analyse, un appareil ou un moyen, ou encore un produit thérapeutique suppose en principe que l'analyse, respectivement le moyen, l'appareil ou le médicament en cause, figure dans la liste des analyses (LAna, annexe 3 de l'OPAS), respectivement la liste des moyens et appareils (LiMA, annexe de l'OPAS) ou la liste des spécialités.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(RAMA 2003 p. 299, consid. 3.2 ; arrêt du Tribunal fédéral des assurances K 147/06 du 9 janvier 2008 consid. 4.1). En particulier, même si un médicament, qui ne figure pas sur la liste des spécialités (ou la liste des médicaments avec tarif) est prescrit par un médecin et est efficace, approprié et économique au sens de</w:t>
      </w:r>
    </w:p>
    <w:p>
      <w:r>
        <w:t>A/3362/2021 - 13/18 - l'art. 32 al. 1 LAMal, il n'a pas à être pris en charge par l'assurance obligatoire des soins (ATF 134 V 83 consid. 4.1). 7.4 Selon l’art. 71a OAMal, dans sa teneur en vigueur depuis le 1er mars 2017, l’assurance obligatoire des soins prend en charge les coûts d’un médicament admis dans la liste des spécialités et utilisé pour une autre indication que celle autorisée par l’institut ou prévue par la limitation fixée dans la liste des spécialités, au sens de l’art. 73 : si l’usage du médicament constitue un préalable indispensable à la réalisation d’une autre prestation prise en charge par l’assurance obligatoire des soins et que celle-ci est largement prédominante (al. 1 let. a) ; ou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(al. 1 let. b). La prise en charge de médicaments pour des indications qui ne sont pas couvertes par l'autorisation de Swissmedic n'est en principe pas admise. L'admission des médicaments dans la liste des spécialités pour certaines indications médicales constitue une condition nécessaire pour l'admission de celui-ci dans la liste. L'examen du caractère économique et de la valeur thérapeutique du médicament effectué par l'OFSP, en collaboration avec les spécialistes de la Commission fédérale des médicaments, au moyen des documents, et donc sur la base des indications autorisées par Swissmedic, implique que ledit produit ne sera considéré, une fois admis dans la liste des spécialités, comme efficace, approprié et économique que pour lesdites indications. Cet examen n'est pas effectué de manière abstraite, mais toujours par rapport aux caractéristiques concrètes du médicament ; font notamment partie de celles-ci, les indications médicales pour lesquelles la mise sur le marché a été autorisée parce que l'efficacité thérapeutique en a été démontrée pour une ou plusieurs pathologies déterminées (ATF 130 V 352). Toutefois, selon la jurisprudence, il existe des situations dans lesquelles il apparaît nécessaire de prescrire un médicament figurant dans la liste des spécialités pour une indication autre que celles pour lesquelles il a été autorisé, lorsqu'une maladie entraînant une menace pour la vie du patient ou une atteinte à sa santé grave et chronique ne pourrait pas être traitée autrement de manière efficace, par manque d'alternatives thérapeutiques. Le médicament ne pourra toutefois être administré à charge de l'assurance obligatoire des soins que s'il existe des raisons sérieuses pour admettre que le produit en question présente une utilité thérapeutique importante (curative ou palliative ; arrêt du Tribunal fédéral 9C_667/2015 du 7 juin 2016 destiné à la publication ATF 142 V 325 consid. 2.3.1 ; ATF 139 V 375 consid. 4.4; ATF 136 V 395 consid. 5.2). La notion de bénéfice élevé au sens de l'art. 71a al. 1 let. b OAMal correspond à celle de l'art. 9 al. 4 de la loi fédérale sur les médicaments et les dispositifs médicaux du 15 décembre 2000 (loi sur les produits thérapeutiques, LPTh -</w:t>
      </w:r>
    </w:p>
    <w:p>
      <w:r>
        <w:t>A/3362/2021 - 14/18 - RS 812.21) qui prévoit que l'institut peut autoriser, pour une durée limitée, la distribution ou la remise de médicaments contre des maladies mortelles qui ne sont pas autorisés à être mis sur le marché si une telle autorisation est compatible avec la protection de la santé, qu'une grande utilité thérapeutique est attendue de l'administration de ces médicaments et qu'il n'existe pas de médicament équivalent. À cet égard, une telle demande peut être admise au sens de l'art. 19al. 1 lettre c OASMéd, lorsque les résultats intermédiaires des études cliniques indiquent que l'utilisation du médicament procurera un bénéfice thérapeutique notable (arrêt du Tribunal fédéral 9C_667/2015 du 7 juin 2016 destiné à la publication ATF 142 V 325 consid. 4.4.2 ; ATF 136 V 395 consid. 6.10). 7.5 Étant admis dans la liste des spécialités, le Dormicum, dont le principe actif est le Midazolam, peut à ce titre être pris en charge par l’assurance obligatoire des soins, pour autant qu’il soit utilisé pour l’indication médicale prévue dans le compendium suisse des médicaments, à savoir : le traitement à court terme des troubles du sommeil - comme tous les hypnotiques, le Dormicum ne doit être employé qu'en cas d'insomnie cliniquement significative - ; les troubles du rythme du sommeil, troubles de l'endormissement ou difficultés à se rendormir après un réveil précoce ; la sédation dans le cadre de la prémédication lors d'une intervention chirurgicale ou diagnostique. Selon le mode d’emploi du compendium suisse des médicaments, la dose habituelle chez l’adulte est de 7.5 mg - 15 mg. Le plus souvent, la dose de 7.5 mg suffit également à traiter les troubles du sommeil dus à des situations particulières. La dose mentionnée ci-dessus peut être portée à 15 mg au maximum lorsque le traitement à la posologie recommandée et d'autres mesures telles qu'une meilleure hygiène du sommeil ou le traitement de l'affection sous-jacente, responsable de l'insomnie, demeurent inefficaces. Le traitement doit toujours être instauré à la plus faible dose recommandée. La dose maximale recommandée ne doit pas être dépassée, car ceci augmenterait le risque de survenue d’effets indésirables nerveux centraux, y compris de dépression respiratoire et cardiovasculaire éventuellement cliniquement significative.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va au détriment de la partie qui entendait tirer un droit du fait</w:t>
      </w:r>
    </w:p>
    <w:p>
      <w:r>
        <w:t>A/3362/2021 - 15/18 - non prouvé (ATF 126 V 319 consid. 5a ; arrêt du Tribunal fédéral des assurances I 339/03 du 19 novembre 2003,consid. 2).</w:t>
      </w:r>
    </w:p>
    <w:p>
      <w:r>
        <w:rPr>
          <w:b/>
        </w:rPr>
        <w:t>E. 9</w:t>
      </w:r>
    </w:p>
    <w:p>
      <w:r>
        <w:t>En l’espèce, le recourant ne conteste pas que la prescription litigieuse de Dormicum, admis dans la liste des spécialités, ne correspond pas aux indications autorisées par le compendium suisse des médicaments, et qu’elle constitue donc une administration « hors étiquette ». Dans ces conditions, la prescription de Dormicum 450 mg par jour ne peut être prise en charge par l’assurance obligatoire des soins que si l’une ou l’autre des hypothèses prévues à l’art. 71a OAMal est réalisée, à savoir si son usage constitue un préalable indispensable à la réalisation d’une autre prestation prise en charge par l’assurance obligatoire des soins et que celle-ci est largement prédominante, ou si son usage permet d’escompter un bénéfice élevé contre une maladie susceptible d’être mortelle pour l’intéressé ou de lui causer des problèmes de santé graves et chroniques et que, faute d’alternative thérapeutique, il n’existe pas d’autre traitement efficace autorisé.</w:t>
      </w:r>
    </w:p>
    <w:p>
      <w:r>
        <w:rPr>
          <w:b/>
        </w:rPr>
        <w:t>E. 9.1</w:t>
      </w:r>
    </w:p>
    <w:p>
      <w:r>
        <w:t>Dans son rapport du 7 janvier 2021, le Dr C______ a indiqué que le recourant avait bénéficié d’un traitement résidentiel entre 2017 et 2019 qui n’avait pas pu faire évoluer son besoin en psychotropes et qu’il recevait des dérivés morphiniques depuis son institution. Ce traitement devait être complété par des benzodiazépines à courte durée d’action tel que le Dormicum, étant précisé que les différentes benzodiazépines à longue durée avaient été proposées, sans succès. L’intéressé s’était alors procuré du Dormicum au marché noir. En 2019, afin d’être conforme à la LStup, il avait repris la prescription de Dormicum à raison de 450 mg par jour. Le pronostic était défavorable à cause des psycho-traumas initiaux survenus précocement dans le processus de développement de son patient. Selon le rapport annexé du 23 mars 2017, ce médecin a considéré que l’évolution du patient était conforme aux buts fixés par les soins sur la santé, la LStup et les dispositions respectives d’application, et précisé que le traitement était resté stable et le pronostic réservé car il dépendait des graves psycho-traumas. Le recourant a exposé, à l’appui de son opposition, que le traitement morphinique traitait ses douleurs centrales et que les benzodiazépines le soulageaient d’une dépression réfractaire à tout autre traitement. Le Dormicum lui permettait de « survivre ». Par la suite, dans le cadre de la présente procédure, il a fait référence à des troubles post-traumatiques et indiqué que la prise de Dormicum dans les proportions prescrites lui permettait de ne pas « péter un plomb » et lui évitait de s’en procurer au marché noir.</w:t>
      </w:r>
    </w:p>
    <w:p>
      <w:r>
        <w:rPr>
          <w:b/>
        </w:rPr>
        <w:t>E. 9.2</w:t>
      </w:r>
    </w:p>
    <w:p>
      <w:r>
        <w:t>La chambre de céans constate tout d’abord que, malgré la demande d’informations de l’intimée, le Dr C______ n’a pas posé de diagnostic clair, ni donné d’indication sur la nature du traitement suivi, ni sur celui déjà prescrit. Il ne saurait donc être reproché à l’intimée de ne pas avoir interrogé le médecin traitant sur d’autres traitements compatibles avec l’état de santé du recourant.</w:t>
      </w:r>
    </w:p>
    <w:p>
      <w:r>
        <w:t>A/3362/2021 - 16/18 - Elle constate ensuite que les deux rapports du médecin traitant qui figurent au dossier ne contiennent pas le moindre élément permettant de penser que la prise de Dormicum dans les proportions prescrites constituerait un préalable nécessaire au traitement des dérivés morphiniques. Ils ne font pas davantage état d’indice suggérant que l’usage de Dormicum à raison de 450 mg par jour constituerait un important bienfait contre une maladie possiblement fatale ou pouvant engendrer des atteintes à la santé graves et chroniques. En ce qui concerne les allégations du recourant, elle observe que les troubles psychiques ne sont étayés par aucune pièce médicale, et que les « psycho-traumas » mentionnés par le médecin traitant, outre qu’ils n’émanent pas d’un spécialiste en psychiatrie, ne correspondent à aucun diagnostic selon une classification internationale reconnue. Quoi qu’il en soit, le recourant n’a pas soutenu que la dépression ou l’état de stress post- traumatique dont il serait victime pourrait être assimilé à une maladie entraînant une menace pour la vie ou des problèmes de santé graves et chroniques. Compte tenu des arguments invoqués par l’intéressé et au vu des pièces à disposition de l’intimée, cette dernière ne pouvait pas procéder à un examen concret et détaillé des conditions d’application de l’art. 71a OAMal. La chambre de céans rappelle également que les décisions antérieures de l’intimée acceptant de prendre en charge le traitement de Dormicum prescrit selon la posologie de 600 mg par jour contenaient une garantie limitée dans le temps. Selon les documents produits, la dernière garantie était valable jusqu’au 30 novembre 2017. Ces différentes décisions n’étaient donc pas soumises à révision ou reconsidération et l’absence de tout changement dans le traitement prescrit n’est pas pertinent. Les développements du recourant concernant une décision de renonciation à la prise en charge d’un traitement de substitution sont difficilement compréhensibles, dès lors que la décision entreprise ne limite en aucun cas son traitement par agonistes opioïdes. Enfin, s’agissant de la production du rapport du Dr C______ du 7 janvier 2021, il sera rappelé que, dans la mesure où les intérêts privés prépondérants sont sauvegardés, les autorités habilitées à statuer sur les recours contre des décisions fondées sur une loi sur les assurances sociales ont le droit de consulter le dossier pour les données nécessaires à l’accomplissement de cette tâches (art. 47 al. 1 let. c LPGA). Le recourant n’expose pas en quoi son intérêt privé prépondérant aurait été lésé ni comment la chambre de céans pourrait trancher le litige sans aucune information médicale.</w:t>
      </w:r>
    </w:p>
    <w:p>
      <w:r>
        <w:rPr>
          <w:b/>
        </w:rPr>
        <w:t>E. 10</w:t>
      </w:r>
    </w:p>
    <w:p>
      <w:r>
        <w:t>Au vu de ce qui précède, l’intimée était fondée à limiter la prise en charge du Dormicum, au titre de l’assurance obligatoire des soins, conformément à la posologie maximale admise selon le compendium suisse des médicaments.</w:t>
      </w:r>
    </w:p>
    <w:p>
      <w:r>
        <w:rPr>
          <w:b/>
        </w:rPr>
        <w:t>E. 11</w:t>
      </w:r>
    </w:p>
    <w:p>
      <w:r>
        <w:t>Partant, le recours est rejeté. La procédure est gratuite (art. 89H al. 1 LPA).</w:t>
      </w:r>
    </w:p>
    <w:p>
      <w:r>
        <w:t>A/3362/2021 - 17/18 -</w:t>
      </w:r>
    </w:p>
    <w:p>
      <w:r>
        <w:t>A/3362/2021 - 18/18 -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