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ATAS/519/2021 vom 25. Mai 2021</w:t>
      </w:r>
    </w:p>
    <w:p>
      <w:r>
        <w:t>GE Cour de justice, 2021-05-25, FR</w:t>
      </w:r>
    </w:p>
    <w:p>
      <w:r>
        <w:rPr>
          <w:b/>
        </w:rPr>
        <w:t xml:space="preserve">Quelle: </w:t>
      </w:r>
      <w:r>
        <w:t>https://mcp.opencaselaw.ch/entscheid/ge_gerichte_ATAS_519_2021</w:t>
      </w:r>
    </w:p>
    <w:p>
      <w:r>
        <w:t>FR: GE_GERICHTE ATAS/519/2021 du 25 mai 2021</w:t>
      </w:r>
    </w:p>
    <w:p>
      <w:r>
        <w:t>IT: GE_GERICHTE ATAS/519/2021 del 25 maggio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t>A/1208/2021 - 3/4 -</w:t>
      </w:r>
    </w:p>
    <w:p>
      <w:r>
        <w:rPr>
          <w:b/>
        </w:rPr>
        <w:t>E. 3</w:t>
      </w:r>
    </w:p>
    <w:p>
      <w:r>
        <w:t>Le 19 mars 2021, l’Assemblée fédérale a adopté l’art. 17b de la loi fédérale sur les bases légales des ordonnances du Conseil fédéral visant à surmonter l’épidémie de COVID-19 (loi COVID-19 – RS 818.102). D’après son al. 1er, en dérogation à l’art. 36 al. 1 LACI, aucun délai de préavis ne doit être observé pour la réduction de l’horaire de travail. Le préavis doit être renouvelé lorsque la réduction de l’horaire de travail dure plus de six mois. À partir du 1er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1er septembre 2020 et a effet jusqu’au 31 décembre 2021.</w:t>
      </w:r>
    </w:p>
    <w:p>
      <w:r>
        <w:rPr>
          <w:b/>
        </w:rPr>
        <w:t>E. 4</w:t>
      </w:r>
    </w:p>
    <w:p>
      <w:r>
        <w:t>novembre 2020 et de l’art. 17b précité, doit être confirmé. Partant, le recours sera admis et la décision litigieuse réformée dans le sens que les recourants ont droit à l’indemnité RHT dès le 4 novembre 2020 au lieu du 2 décembre 2020. Pour le surplus, la procédure est gratuite.</w:t>
      </w:r>
    </w:p>
    <w:p>
      <w:r>
        <w:t>A/1208/2021 - 4/4 -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