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ATAS/519/2019 vom 11. Juni 2019</w:t>
      </w:r>
    </w:p>
    <w:p>
      <w:r>
        <w:t>GE Cour de justice, 2019-06-11, FR</w:t>
      </w:r>
    </w:p>
    <w:p>
      <w:r>
        <w:rPr>
          <w:b/>
        </w:rPr>
        <w:t xml:space="preserve">Quelle: </w:t>
      </w:r>
      <w:r>
        <w:t>https://mcp.opencaselaw.ch/entscheid/ge_gerichte_ATAS_519_2019</w:t>
      </w:r>
    </w:p>
    <w:p>
      <w:r>
        <w:t>FR: GE_GERICHTE ATAS/519/2019 du 11 juin 2019</w:t>
      </w:r>
    </w:p>
    <w:p>
      <w:r>
        <w:t>IT: GE_GERICHTE ATAS/519/2019 del 11 giugno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Interjetés dans les forme et délai prévus par la loi, les recours sont recevables (art. 56 à 61 LPGA et 38 al. 3 LPGA).</w:t>
      </w:r>
    </w:p>
    <w:p>
      <w:r>
        <w:rPr>
          <w:b/>
        </w:rPr>
        <w:t>E. 3</w:t>
      </w:r>
    </w:p>
    <w:p>
      <w:r>
        <w:t>Le litige porte sur le non-paiement des primes LAMal des mois d’avril et mai, et de juillet à décembre 2017, ainsi que les participations aux coûts 2016, concernant la fille de l’intéressée.</w:t>
      </w:r>
    </w:p>
    <w:p>
      <w:r>
        <w:rPr>
          <w:b/>
        </w:rPr>
        <w:t>E. 4</w:t>
      </w:r>
    </w:p>
    <w:p>
      <w:r>
        <w:t>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(ATAS/867/2016).</w:t>
      </w:r>
    </w:p>
    <w:p>
      <w:r>
        <w:rPr>
          <w:b/>
        </w:rPr>
        <w:t>E. 5</w:t>
      </w:r>
    </w:p>
    <w:p>
      <w:r>
        <w:t>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w:t>
      </w:r>
    </w:p>
    <w:p>
      <w:r>
        <w:t>A/921/2018 - 5/10 - 2a;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w:t>
      </w:r>
    </w:p>
    <w:p>
      <w:r>
        <w:t>A/921/2018 - 6/10 -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s’agissant des primes des mois d’avril, mai, juillet, août, septembre, octobre, novembre et décembre 2017.</w:t>
      </w:r>
    </w:p>
    <w:p>
      <w:r>
        <w:rPr>
          <w:b/>
        </w:rPr>
        <w:t>E. 6</w:t>
      </w:r>
    </w:p>
    <w:p>
      <w:r>
        <w:t>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rPr>
          <w:b/>
        </w:rPr>
        <w:t>E. 7</w:t>
      </w:r>
    </w:p>
    <w:p>
      <w:r>
        <w:t>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w:t>
      </w:r>
    </w:p>
    <w:p>
      <w:r>
        <w:t>A/921/2018 - 7/10 -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w:t>
      </w:r>
    </w:p>
    <w:p>
      <w:r>
        <w:rPr>
          <w:b/>
        </w:rPr>
        <w:t>E. 11</w:t>
      </w:r>
    </w:p>
    <w:p>
      <w:r>
        <w:t>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(ATAS/663/2017 du 31 juillet 2017).</w:t>
      </w:r>
    </w:p>
    <w:p>
      <w:r>
        <w:t>A/921/2018 - 9/10 - Au regard de cet arrêt, il faut admettre que les frais de sommation ainsi que les frais d’ouverture du dossier pour les montants en souffrance concernés ne sont pas excessifs et ne procurent à l’assureur aucun enrichissement, de sorte qu'il n’y a pas lieu de les réduire.</w:t>
      </w:r>
    </w:p>
    <w:p>
      <w:r>
        <w:rPr>
          <w:b/>
        </w:rPr>
        <w:t>E. 12</w:t>
      </w:r>
    </w:p>
    <w:p>
      <w:r>
        <w:t>S’agissant des intérêts moratoires de 5%, ils sont expressément prévus par les art. 26 al. 1 LPGA et 105a OAMal.</w:t>
      </w:r>
    </w:p>
    <w:p>
      <w:r>
        <w:rPr>
          <w:b/>
        </w:rPr>
        <w:t>E. 13</w:t>
      </w:r>
    </w:p>
    <w:p>
      <w:r>
        <w:t>Quant aux frais de poursuite, l’art. 68 al. 1 LP prévoit expressément qu’ils sont à la charge du débiteur, même si le créancier en fait l’avance. Ces frais sont donc également dus par le recourant poursuivi, et suivent le sort de la poursuite, sans qu’il soit nécessaire de prononcer la mainlevée de l’opposition à leur égard.</w:t>
      </w:r>
    </w:p>
    <w:p>
      <w:r>
        <w:rPr>
          <w:b/>
        </w:rPr>
        <w:t>E. 14</w:t>
      </w:r>
    </w:p>
    <w:p>
      <w:r>
        <w:t>La mainlevée de l’opposition faite aux commandements de payer dans les poursuites n° 1______ S, 2______ Y et 3______ C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les recours seront rejetés.</w:t>
      </w:r>
    </w:p>
    <w:p>
      <w:r>
        <w:t>A/921/2018 - 10/10 -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