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ATAS/518/2025 vom 30. Juni 2025</w:t>
      </w:r>
    </w:p>
    <w:p>
      <w:r>
        <w:t>GE Cour de justice, 2025-06-30, FR</w:t>
      </w:r>
    </w:p>
    <w:p>
      <w:r>
        <w:rPr>
          <w:b/>
        </w:rPr>
        <w:t xml:space="preserve">Quelle: </w:t>
      </w:r>
      <w:r>
        <w:t>https://mcp.opencaselaw.ch/entscheid/ge_gerichte_ATAS_518_2025</w:t>
      </w:r>
    </w:p>
    <w:p>
      <w:r>
        <w:t>FR: GE_GERICHTE ATAS/518/2025 du 30 juin 2025</w:t>
      </w:r>
    </w:p>
    <w:p>
      <w:r>
        <w:t>IT: GE_GERICHTE ATAS/518/2025 del 30 giugno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1.3</w:t>
      </w:r>
    </w:p>
    <w:p>
      <w:r>
        <w:t>À teneur de l'art. 1 al. 1 LAVS, les dispositions de la LPGA s'appliquent aux art. 1 à 97 LAVS, à moins que la loi n'y déroge expressément.</w:t>
      </w:r>
    </w:p>
    <w:p>
      <w:r>
        <w:rPr>
          <w:b/>
        </w:rPr>
        <w:t>E. 1.4</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w:t>
      </w:r>
    </w:p>
    <w:p>
      <w:r>
        <w:t>A/1347/2022 - 9/19 - soit le domicile dudit organe (arrêt du Tribunal fédéral H 184/06 du 25 avril 2007 consid. 2.3). La société ayant eu son siège dans le canton de Genève jusqu'au moment de sa faillite, la chambre de céans est également compétente ratione loci.</w:t>
      </w:r>
    </w:p>
    <w:p>
      <w:r>
        <w:rPr>
          <w:b/>
        </w:rPr>
        <w:t>E. 1.5</w:t>
      </w:r>
    </w:p>
    <w:p>
      <w:r>
        <w:t>Le délai de recours est de 30 jours (art. 56 LPGA; art. 62 al. 1 de la loi sur la procédure administrative, du 12 septembre 1985 [LPA - E 5 10]). Interjeté dans la forme et le délai prévus par la loi, le recours est recevable.</w:t>
      </w:r>
    </w:p>
    <w:p>
      <w:r>
        <w:rPr>
          <w:b/>
        </w:rPr>
        <w:t>E. 2</w:t>
      </w:r>
    </w:p>
    <w:p>
      <w:r>
        <w:t>Le litige porte sur le bien-fondé de la demande en réparation du dommage adressée par l’intimée au recourant pour le préjudice causé par le défaut de paiement des cotisations sociales (AVS/AI/APG, AC et AF) par la société pour les années 2015 et 2016.</w:t>
      </w:r>
    </w:p>
    <w:p>
      <w:r>
        <w:rPr>
          <w:b/>
        </w:rPr>
        <w:t>E. 3.1</w:t>
      </w:r>
    </w:p>
    <w:p>
      <w:r>
        <w:t>L'art. 14 al. 1 LAVS en corrélation avec les art. 34 ss du règlement sur l'assurance-vieillesse et survivants du 31 octobre 1947 (RAVS -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 Selon l’art. 52 LAVS (dans sa teneur en vigueur du 1er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4</w:t>
      </w:r>
    </w:p>
    <w:p>
      <w:r>
        <w:t>À titre liminaire, il convient d'examiner si la prétention de l’intimée est prescrite.</w:t>
      </w:r>
    </w:p>
    <w:p>
      <w:r>
        <w:t>A/1347/2022 - 10/19 -</w:t>
      </w:r>
    </w:p>
    <w:p>
      <w:r>
        <w:rPr>
          <w:b/>
        </w:rPr>
        <w:t>E. 4.1</w:t>
      </w:r>
    </w:p>
    <w:p>
      <w:r>
        <w:t>Le 1er janvier 2020 est entrée en vigueur la révision du droit de la prescription de la loi fédérale du 30 mars 1911, complétant le Code civil suisse (CO, Code des obligations - RS 220), entraînant la modification de l’art. 52 al. 3 LAVS (RO 2018 5343 ; Message du Conseil fédéral relatif à la modification du code des obligations [droit de la prescription] du 29 novembre 2013, FF 2014 221). Cette disposition prévoit désormais que l’action en réparation du dommage se prescrit conformément aux dispositions du code des obligations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 Jusqu’au 31 décembre 2019, l’art. 52 al. 3 aLAVS prévoyait que le droit à la réparation se prescrivait deux ans après que la caisse de compensation compétente avait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(FF 2014 221, p. 260). L’art. 49 Titre final du Code civil suisse du 10 décembre 1907 (CC - RS 210) règle de manière générale les questions de droit transitoire en matière de prescription et a été réécrit lors de la révision du droit de la prescription (FF 2014 221, pp.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principe est que le nouveau droit s’applique dès lors qu’il prévoit un délai plus long que l’ancien droit, mais uniquement à la condition que la prescription ne soit</w:t>
      </w:r>
    </w:p>
    <w:p>
      <w:r>
        <w:t>A/1347/2022 - 11/19 - pas déjà acquise. En d’autres termes, les délais de prescription en cours sont allongés par le nouveau droit. A contrario, une créance déjà prescrite demeure prescrite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(FF 2014 221, p. 254). 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S'agissant de la prescription absolue, selon la jurisprudence rendue à propos de l'ancien droit, le dommage survient dès que l'on doit admettre que les cotisations dues ne peuvent plus être recouvrées, pour des motifs juridiques ou de fait (ATF 129 V 193 consid. 2.2 ;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H 35/06 du 4 octobre 2006 consid. 6). Ce jour marque également celui de la naissance de la créance en réparation et la date à partir de laquelle court le délai de cinq ans (ATF 129 V 193 consid. 2.2 ;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S'agissant de la prescription relative, le nouveau droit n'a pas modifié son point de départ ;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w:t>
      </w:r>
    </w:p>
    <w:p>
      <w:r>
        <w:t>A/1347/2022 - 12/19 - (ATF 129 V 193 consid. 2.3), la date de la publication de cette mesure dans la FOSC étant déterminante (arrêt du Tribunal fédéral H 142/03 du 19 août 2003 consid. 4.3 ; ATF 129 V 193 consid. 2.3). 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de procédure relatif au droit invoqué et susceptible de faire progresser l'instance (ATF 141 V 487 consid. 2.3 p. 48 ; arrêt du Tribunal fédéral 9C_641/2020 du 30 mars 2021 consid. 5.3 et la référence ; arrêt du Tribunal fédéral 9C_400/2020 du 19 octobre 2020 consid. 3.2.1 et la référence). Tant la décision que l’opposition interrompent les délais de prescription (ATF 135 V 74 consid. 4.2.2).</w:t>
      </w:r>
    </w:p>
    <w:p>
      <w:r>
        <w:rPr>
          <w:b/>
        </w:rPr>
        <w:t>E. 4.2</w:t>
      </w:r>
    </w:p>
    <w:p>
      <w:r>
        <w:t>En l'espèce, en application du droit transitoire, la question du point de départ des délais de prescription doit être tranchée à la lumière de l'ancien droit, les faits étant antérieurs à l'entrée en vigueur de l'actuel art. 52 al. 3 LAVS, intervenue le 1er janvier 2020. Concernant le délai absolu, le dommage est survenu le jour du prononcé de la faillite, soit le 9 avril 2018, date à laquelle ce délai a donc commencé à courir. S'agissant du délai relatif, en application de la jurisprudence fédérale précitée, le moment de la connaissance du dommage par l'intimée est survenu le 18 avril 2019, date à laquelle l’intimée a reçu les actes de défaut de bien après faillite pour les montants de CHF 147'123.79 et CHF 3'520.-. Le délai de prescription relative n’étant pas atteint lors de l'entrée en vigueur du nouveau droit de la prescription, le 1er janvier 2020, les délais plus longs de prescription de trois ans et de dix ans prévus par la nouvelle loi se sont par conséquent substitués aux anciens et s'appliquent en l'occurrence. Il en résulte que le délai de prescription relative trois ans n’était pas atteint le 23 octobre 2019, ni le délai de prescription absolue de dix ans. Par la suite, les délais de prescription ont été valablement interrompus par l'opposition du 20 novembre 2019, par la décision sur opposition du 17 mars 2022, le recours du 2 mai 2022 et les écritures de l’intimée du 19 mars 2025 s’opposant à une nouvelle suspension de la procédure et demandant la reprise de celle-ci, soit un acte de procédure susceptible de faire progresser l’instance, de sorte qu'à ce jour, la prescription n'est pas acquise. Par conséquent, l'action en réparation du dommage n'est pas prescrite.</w:t>
      </w:r>
    </w:p>
    <w:p>
      <w:r>
        <w:rPr>
          <w:b/>
        </w:rPr>
        <w:t>E. 5.1</w:t>
      </w:r>
    </w:p>
    <w:p>
      <w:r>
        <w:t>Il convient à présent d'examiner si les conditions de la responsabilité de l'art. 52 LAVS sont réalisées et en premier lieu de déterminer si le recourant peut être considéré comme étant « l'employeur » tenu de verser les cotisations à l'intimée.</w:t>
      </w:r>
    </w:p>
    <w:p>
      <w:r>
        <w:t>A/1347/2022 - 13/19 -</w:t>
      </w:r>
    </w:p>
    <w:p>
      <w:r>
        <w:rPr>
          <w:b/>
        </w:rPr>
        <w:t>E. 5.2</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H 252/01 du 14 mai 2002 consid. 3b et d, in VSI 2002 p. 176 ;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w:t>
      </w:r>
    </w:p>
    <w:p>
      <w:r>
        <w:t>A/1347/2022 - 14/19 - également arrêt du Tribunal fédéral 9C_152/2009 du 18 novembre 2009 consid. 6.1, in SVR 2010 AHV n° 4 p. 11).</w:t>
      </w:r>
    </w:p>
    <w:p>
      <w:r>
        <w:rPr>
          <w:b/>
        </w:rPr>
        <w:t>E. 5.3</w:t>
      </w:r>
    </w:p>
    <w:p>
      <w:r>
        <w:t>En l'espèce, le recourant était inscrit au registre du commerce en qualité de gérant président de la société du 26 novembre 2014 au 20 mars 2017 avec signature individuelle. Il disposait ainsi de la qualité d'organe formel de la société alors que les cotisations en cause étaient déjà échues Conformément aux dispositions précitées, il peut être recherché à ce titre par l'intimée pour le non-paiement des cotisations litigieuses.</w:t>
      </w:r>
    </w:p>
    <w:p>
      <w:r>
        <w:rPr>
          <w:b/>
        </w:rPr>
        <w:t>E. 6</w:t>
      </w:r>
    </w:p>
    <w:p>
      <w:r>
        <w:t>Reste à examiner si le recourant a commis une faute ou une négligence grave au sens de l'art. 52 al. 1 LAVS.</w:t>
      </w:r>
    </w:p>
    <w:p>
      <w:r>
        <w:rPr>
          <w:b/>
        </w:rPr>
        <w:t>E. 6.1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L’art. 716a al. 1 CO énumère les attributions intransmissibles et inaliénables des membres d’un conseil d’administration. En font partie l’exercice de la haute</w:t>
      </w:r>
    </w:p>
    <w:p>
      <w:r>
        <w:t>A/1347/2022 - 15/19 - surveillance sur les personnes chargées de la gestion, pour s’assurer notamment qu’elles observent la loi, les statuts,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La faute de l'homme de paille réside précisément dans le fait qu'il s'accommode de ne pouvoir exercer ses fonctions (ATF 122 III 195 consid. 3b ; arrêt du Tribunal fédéral H 126/04 du 8 septembre 2005 consid. 4). La jurisprudence exige de l'organe factuellement exclu de la gestion de la société qu'il se soucie sérieusement de remplir ses obligations contractuelles, parmi lesquelles figure le paiement des cotisations sociales. Dans les cas où l'organe risque d'engager sa responsabilité, il doit démissionner (Marco REICHMUTH, op. cit., p. 133, n. 563 ; arrêts du Tribunal fédéral 9C_446/2014 du 2 septembre 2014 consid. 4.2 et 9C_ 289/2009 du 19 mai 2010 consid. 6.2).</w:t>
      </w:r>
    </w:p>
    <w:p>
      <w:r>
        <w:t>A/1347/2022 - 16/19 -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organe engage sa responsabilité pour les cotisations sociales qui sont venues à échéance entre le moment de son entrée en fonction et celui de sa sortie effective de la société, ainsi que pour les cotisations qui étaient déjà échues lors de son entrée en fonction,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des assurances H 167/05 du 21 juin 2006 consid. 8 et H 74/05 du 8 novembre 2005 consid. 4). Dans un arrêt récent, le Tribunal fédéral a réitéré la portée de l'art. 52 LAVS et la jurisprudence y relative dans le cadre de l'examen de la responsabilité d'un gérant d'une Sàrl dans le préjudice subi par la caisse de compensation en raison de cotisations paritaires restées impayées par la Sàrl. Le Tribunal fédéral a rappelé qu'en sa qualité de gérant, il incombait au recourant de veiller personnellement à ce que les cotisations paritaires afférentes aux salaires versés fussent effectivement payées à la caisse de compensation, nonobstant le mode de répartition interne des tâches au sein de la société. Un gérant d'une Sàrl ne peut se libérer de cette responsabilité en se bornant à soutenir qu'il faisait confiance à un associé chargé de régler les cotisations sociales à la caisse de compensation, car cela constitue déjà en soi un cas de négligence grave. En reconnaissant qu'il faisait confiance à l'associé gérant, à qui était confiée la tâche de régler les paiements et les cotisations sociales, le recourant admet implicitement qu'il n'a pas exercé à satisfaction son devoir de surveillance (cura in custodiendo) et fait preuve de passivité, au lieu d'intervenir directement, ce qui relève d'une négligence qui doit,</w:t>
      </w:r>
    </w:p>
    <w:p>
      <w:r>
        <w:t>A/1347/2022 - 17/19 - sous l'angle de l'art. 52 LAVS, être qualifiée de grave. Le Tribunal fédéral a également retenu que cette passivité est de surcroît en relation de causalité naturelle et adéquate avec le dommage subi par la caisse de compensation. En effet, si le recourant avait correctement exécuté sa charge de gérant, notamment en exigeant de consulter tous les documents comptables pertinents (pièces bancaires, correspondance avec l'AVS, etc.), il aurait pu veiller à ce que les cotisations sociales fussent régulièrement versées et ceci l'aurait amené à constater que les retards dans les paiements des cotisations s'accumulaient et à prendre les mesures idoines (arrêt du Tribunal fédéral 9C_463/2023 du 22 mai 2024 consid. 3.21).</w:t>
      </w:r>
    </w:p>
    <w:p>
      <w:r>
        <w:rPr>
          <w:b/>
        </w:rPr>
        <w:t>E. 6.2</w:t>
      </w:r>
    </w:p>
    <w:p>
      <w:r>
        <w:t>En l'occurrence, il n'est pas contesté ni contestable que l'intimée a subi un dommage dû au non-versement par la société des cotisations paritaires relatives aux années 2015 et 2016. Sur la base du dossier, la chambre de céans considère comme établi, au degré de la vraisemblance prépondérante requis, que le recourant, certes inscrit comme gérant-président au registre du commerce pendant la période en cause, ne disposait dans les faits d’aucun pouvoir décisionnel ni d’aucun accès aux comptes de la société. Cela étant, il ne peut s'exonérer de ses responsabilités légales en invoquant son rôle passif au sein de la société. Il a allégué avoir demandé l’accès aux comptes, sans produire de pièces l’attestant. Il n’a pas pris contact avec l’intimée pour savoir si les cotisations paritaires étaient payées et il n’a pas démissionné, ce qu’il devait faire si, comme il l’allègue, le directeur ne lui permettait pas de s’assurer du paiement des cotisations sociales. Il a ainsi commis une négligence grave entraînant l’obligation de réparer le dommage au sens de l’art. 52 LAVS. Le recourant n’a pas rendu vraisemblable que le directeur de la société l’aurait trompé par des agissements délictueux, notamment en ce qui concernait les cotisations en souffrance, ne pouvait être tenu pour responsable du dommage subi par l'assurance. Les manquements du recourant relatifs au défaut de paiement des cotisations paritaires sont en rapport de causalité naturelle et adéquate avec le dommage subi par l’intimée. Le recourant s’est contenté, pour tenter de s’exonérer de ses responsabilités, d’émettre tardivement des hypothèses sur des transactions entre les sociétés du groupe qui pourraient interrompre le lien de causalité entre ses manquements à ses devoirs d’administrateurs et le dommage subi par l’intimée, indiquant notamment soupçonner le directeur d’avoir soustrait les liquidités de la société avant de prendre la fuite. Ces allégations ne sont pas rendues vraisemblables par le recourant et il ne se justifie pas de procéder à d’autres mesures d’instruction à ce sujet. S’agissant du montant du dommage, le recourant ne remet pas en cause la somme réclamée de CHF 150'206.80. Conformément à la jurisprudence de la chambre de</w:t>
      </w:r>
    </w:p>
    <w:p>
      <w:r>
        <w:t>A/1347/2022 - 18/19 - céans, il convient cependant de déduire du montant réclamé par l’intimée le dommage résultant du défaut de paiement des cotisations dues en vertu de la LAMat (ATAS/79/2020 du 30 janvier 2020) ainsi que des éventuels montants versés en déduction de la dette, notamment CHF 1'870.-, selon ce qui ressort de l’acte de défaut de biens relatif au débiteur D______, qui fait état d’un montant total du découvert de CHF 148'336.60.</w:t>
      </w:r>
    </w:p>
    <w:p>
      <w:r>
        <w:rPr>
          <w:b/>
        </w:rPr>
        <w:t>E. 7</w:t>
      </w:r>
    </w:p>
    <w:p>
      <w:r>
        <w:t>Eu égard à ce qui précède, le recours est très partiellement admis, la décision sera annulée et sera renvoyée à l’intimée pour nouveau calcul du dommage excluant les cotisations impayées découlant de la LAMat, les intérêts moratoires et frais administratifs afférents à ces montants, et nouvelle décision sur ce point. Le recourant obtenant très partiellement gain de cause et ayant agi en personne, il ne se justifie pas de lui octroyer des dépens (art. 61 let. g LPGA et art. 6 du règlement sur les frais, émoluments et indemnités en matière administrative du 30 juillet 1986 [RFPA - E 5 10.03]). Pour le surplus, la procédure est gratuite (art. 61 let. a LPGA, dans sa teneur jusqu’au 31 décembre 2020, applicable selon l’art. 83 LPGA).</w:t>
      </w:r>
    </w:p>
    <w:p>
      <w:r>
        <w:t>A/1347/2022 - 19/19 - PAR CES MOTIFS, LA CHAMBRE DES ASSURANCES SOCIALES : Statuant À la forme : 1. Déclare le recours recevable. Au fond : 2. L’admet très partiellement. 3. Annule la décision sur opposition du 17 mars 2022. 4. Renvoie la cause à l’intimée pour nouveau calcul du dommage,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