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ATAS/518/2022 vom 8. Juni 2022</w:t>
      </w:r>
    </w:p>
    <w:p>
      <w:r>
        <w:t>GE Cour de justice, 2022-06-08, FR</w:t>
      </w:r>
    </w:p>
    <w:p>
      <w:r>
        <w:rPr>
          <w:b/>
        </w:rPr>
        <w:t xml:space="preserve">Quelle: </w:t>
      </w:r>
      <w:r>
        <w:t>https://mcp.opencaselaw.ch/entscheid/ge_gerichte_ATAS_518_2022</w:t>
      </w:r>
    </w:p>
    <w:p>
      <w:r>
        <w:t>FR: GE_GERICHTE ATAS/518/2022 du 8 juin 2022</w:t>
      </w:r>
    </w:p>
    <w:p>
      <w:r>
        <w:t>IT: GE_GERICHTE ATAS/518/2022 del 8 giugno 2022</w:t>
      </w:r>
    </w:p>
    <w:p>
      <w:pPr>
        <w:pStyle w:val="Heading2"/>
      </w:pPr>
      <w:r>
        <w:t>Erwägungen</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 ATF 130 V 71 consid. 3.2 et les références ; cf. arrêt du Tribunal fédéral 9C_899/2015 du 4 mars 2016 consid. 4.1 et les références). L’art. 17 al. 1er LPGA dispose que si le taux d’invalidité du bénéficiaire de la rente subit une modification notable, la rente est, d’office ou sur demande, révisée</w:t>
      </w:r>
    </w:p>
    <w:p>
      <w:r>
        <w:t>A/4710/2017 - 9/21 - pour l’avenir, à savoir augmentée ou réduite en conséquence, ou encore supprimée. Tout changement important des circonstances propres à influencer le degré d’invalidité, et donc le droit à la rente, peut motiver une révision selon l’art. 17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4.1.1</w:t>
      </w:r>
    </w:p>
    <w:p>
      <w:r>
        <w:t>La chambre a déjà constaté dans son ordonnance d’expertise que la dernière décision de l’intimé entrée en force datait du 3 juin 2013 et que celle-ci refusait le droit à toute prestation de l’assurance-invalidité à la recourante. Cette dernière a déposé une nouvelle demande de prestations le 31 mars 2014. L’intimé a ordonné une expertise avant de rendre la décision querellée, par laquelle il a refusé d’entrer en matière sur la nouvelle demande. Dès lors qu’il avait ordonné une expertise, il doit être considéré qu’il est entré en matière sur la nouvelle demande et ne s’est pas contenté d’apprécier de manière sommaire si l’état de santé de la recourante s’était aggravé.</w:t>
      </w:r>
    </w:p>
    <w:p>
      <w:r>
        <w:rPr>
          <w:b/>
        </w:rPr>
        <w:t>E. 4.1.2</w:t>
      </w:r>
    </w:p>
    <w:p>
      <w:r>
        <w:t>L’objet du litige porte sur le droit de la recourante a une rente d’invalidité et notamment sur la question de savoir si son état s’est aggravé depuis la dernière décision en force.</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w:t>
      </w:r>
    </w:p>
    <w:p>
      <w:r>
        <w:t>A/4710/2017 - 10/21 -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w:t>
      </w:r>
    </w:p>
    <w:p>
      <w:r>
        <w:t>A/4710/2017 - 11/21 -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4.3.2</w:t>
      </w:r>
    </w:p>
    <w:p>
      <w:r>
        <w:t>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w:t>
      </w:r>
    </w:p>
    <w:p>
      <w:r>
        <w:t>A/4710/2017 - 12/21 -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4.3.3</w:t>
      </w:r>
    </w:p>
    <w:p>
      <w:r>
        <w:t>Le juge vérifie librement si l’expert médical a exclusivement tenu compte des déficits fonctionnels résultant de l’atteinte à la santé et si son évaluation de l’exigibilité repose sur une base objective.</w:t>
      </w:r>
    </w:p>
    <w:p>
      <w:r>
        <w:rPr>
          <w:b/>
        </w:rPr>
        <w:t>E. 4.3.4</w:t>
      </w:r>
    </w:p>
    <w:p>
      <w:r>
        <w:t>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w:t>
      </w:r>
    </w:p>
    <w:p>
      <w:r>
        <w:t>A/4710/2017 - 13/21 -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4.4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w:t>
      </w:r>
    </w:p>
    <w:p>
      <w:r>
        <w:t>En l’espèce, il convient d’examiner en premier lieu la valeur probante de l’expertise de la Dresse K______.</w:t>
      </w:r>
    </w:p>
    <w:p>
      <w:r>
        <w:rPr>
          <w:b/>
        </w:rPr>
        <w:t>E. 5.1.1</w:t>
      </w:r>
    </w:p>
    <w:p>
      <w:r>
        <w:t>Le SMR a remarqué que les psychiatres traitants de la recourante avaient retenu le trouble bipolaire de type II, c’est-à-dire avec la présence de phases uniquement hypomanes et non maniaques. Ce diagnostic était répertorié dans la CIM-10, sous autre trouble affectif bipolaire. Cette différence d’appréciation n’avait pas été discutée par l’experte alors que des phases maniaques n’avaient jamais été décrites chez l’assurée, mais seulement des phases hypomaniaques. Le diagnostic de trouble bipolaire II ou autre trouble bipolaire s’accompagnait en général d’une incapacité de travail moins importante que lors du trouble bipolaire I avec phases maniaques et il était ainsi primordial pour le SMR de pouvoir décrire avec précision les crises hypomaniaques ou maniaques survenues, à quelle</w:t>
      </w:r>
    </w:p>
    <w:p>
      <w:r>
        <w:t>A/4710/2017 - 14/21 - fréquence avec quelle gravité, afin de préciser le diagnostic et sa répercussion sur la capacité de travail.</w:t>
      </w:r>
    </w:p>
    <w:p>
      <w:r>
        <w:rPr>
          <w:b/>
        </w:rPr>
        <w:t>E. 5.1.2</w:t>
      </w:r>
    </w:p>
    <w:p>
      <w:r>
        <w:t>La chambre de céans relève que si un diagnostic psychiatrique est nécessaire pour retenir une incapacité de travail, il n’est en lui-même pas suffisant pour évaluer la capacité de travail de la personne intéressée, puisque selon la jurisprudence du Tribunal fédéral, il y a lieu d’examiner cette question dans le cas concret sur la base des indicateurs qu’il a développés. En l’occurrence, l’experte a expliqué de façon détaillée et convaincante pour quels motifs elle retenait le diagnostic de trouble affectif bipolaire, épisode actuel mixte (F31.6), sur la base des pièces médicales au dossier, des déclarations de la recourante et de la fille de celle-ci ainsi que sur ses propres constats. La remarque du SMR, qui n’a pas lui-même procédé à une expertise de la recourante, ne remet pas sérieusement en cause le diagnostic posé par l’experte.</w:t>
      </w:r>
    </w:p>
    <w:p>
      <w:r>
        <w:rPr>
          <w:b/>
        </w:rPr>
        <w:t>E. 5.2.1</w:t>
      </w:r>
    </w:p>
    <w:p>
      <w:r>
        <w:t>Le SMR a émis des réserves quant à l’appréciation par l’experte de la capacité de travail de l’assurée, au motif que les activités quotidiennes de celle-ci, décrites lors des expertises de 2016 et 2017, s’étaient péjorées en 2020, sans que l’experte commente cette évolution. En 2016, l’assurée appréciait la lecture et regarder la télévision, aller sur internet et promener son chien. En 2017, elle regardait la télévision, faisait parfois des bricolages avec sa petite-fille et promenait son chien. En 2020, l’assurée déclarait ne plus rien faire, oublier d’éteindre le four, rester au lit et ne plus regarder la télévision.</w:t>
      </w:r>
    </w:p>
    <w:p>
      <w:r>
        <w:rPr>
          <w:b/>
        </w:rPr>
        <w:t>E. 5.2.2</w:t>
      </w:r>
    </w:p>
    <w:p>
      <w:r>
        <w:t>La chambre de céans relèvera tout d’abord que selon ses déclarations à l’experte, la recourante continuait à regarder la télévision en 2020, ce qui ressort de sa description d’une journée type. L’experte n’a pas commenté les différences dans les activités de la recourante relevées par le SMR entre 2016, 2017 et 2020, mais elle a donné des informations générales sur la maladie de la recourante, dont il ressort que l’on ne peut tirer de conclusions sur ces différences, puisque, selon ses termes, le propre de la symptomatologie de la recourante est qu’elle varie et que ses limitations fonctionnelles n’avaient cesser de le faire depuis le début du suivi psychiatrique, en novembre 2011. Ce qui était déterminant en revanche selon l’experte, c’était les troubles mnésiques de l’assurée, lesquels restaient invariables et impactaient considérablement sa vie depuis des années. L’expertisée et sa fille s’étaient organisées autour des dysfonctionnements de l’expertisée au quotidien et, sans sa fille, celle-ci ne pourrait vivre seule à domicile, du fait de ses problèmes de mémoire. La remarque du SMR ne remet ainsi pas en cause la valeur probante de l’expertise judiciaire.</w:t>
      </w:r>
    </w:p>
    <w:p>
      <w:r>
        <w:rPr>
          <w:b/>
        </w:rPr>
        <w:t>E. 5.3</w:t>
      </w:r>
    </w:p>
    <w:p>
      <w:r>
        <w:t>A/4710/2017 - 15/21 -</w:t>
      </w:r>
    </w:p>
    <w:p>
      <w:r>
        <w:rPr>
          <w:b/>
        </w:rPr>
        <w:t>E. 5.3.1</w:t>
      </w:r>
    </w:p>
    <w:p>
      <w:r>
        <w:t>Le SMR a encore remarqué que la comparaison des examens cliniques lors des diverses expertises mettait en évidence des différences, qui n’avaient pas été commentées par l’experte. En 2016, l’expert avait indiqué une légère perturbation de la concentration et de la mémoire des faits récents, mais pas de perturbations de l’élan vital, ni de ralentissement moteur, de logorrhée, de fuite dans les idées, de contacts familiers ou de troubles du sommeil. En 2017, l’expert avait décrit une thymie dépressive avec des moments d’anxiété, une idéation morbide, une expression émotionnelle fluctuante, sans mettre en évidence de ralentissement, ni d’accélération psychique, d’incohérence, de fuite dans les idées, de logorrhée, de fatigabilité, de trouble neuropsychologique. La vigilance, l’attention, l’orientation et la mémoire étaient sans particularité. En 2020, l’experte relevait un ralentissement psychomoteur, une tristesse, une mémoire déficitaire, une bizarrerie de contact avec la présence de ralentissement et de familiarité. L’experte ne commentait pas ces différences pourtant objectivées.</w:t>
      </w:r>
    </w:p>
    <w:p>
      <w:r>
        <w:rPr>
          <w:b/>
        </w:rPr>
        <w:t>E. 5.3.2</w:t>
      </w:r>
    </w:p>
    <w:p>
      <w:r>
        <w:t>Il convient là encore de rappeler que la maladie de la recourante a pour spécificité que son état varie, de sorte qu’il n’est pas surprenant que les trois experts aient fait des constats différents. L’experte a en outre relevé, dans sa discussion, qu’en 2016, le Dr H______ avait indiqué que l’assurée présentait alors le Hamilton dépression à 10-11 et la concentration et la mémoire des faits récents de celle-ci lui avaient paru légèrement perturbées. Elle présentait une tristesse fluctuante en fonction des événements, mais l’humeur n’était pas dépressive. Le Dr H______ avait relevé la présence de sentiment d’infériorité, de dévalorisation et de découragement et ajouté que l’assurée n’avait jamais été hospitalisée en milieu psychiatrique et qu’elle présentait des tensions nerveuses et une irritabilité par moment. Selon la Dresse K______, en dehors des aspects contradictoires contenus dans les conclusions du Dr H______, le status tel que décrit par celui-ci apparaissait loin d’être dans la norme et évoquait une symptomatologie dépressive. Contrairement aux conclusions du Dr H______, la Dresse K______ estimait que tous les éléments évoqués par ce médecin concordaient pour poser ce diagnostic de trouble bipolaire de type II. En effet, le recul sur plusieurs années démontrait un état psychique instable, fragile, des décompensations de type hypomane avec des épisodes dépressifs à répétition chez la recourante. Les rémissions étaient incomplètes, car celle-ci présentait des symptômes dépressifs ou mixtes en périodes dites de rémission. Le diagnostic de cyclothymie évoqué par le Dr H______ devait être écarté, au vu de la gravité des troubles de l’humeur de la recourante. L’experte a également expliqué que dans l’hypomanie, l’élévation de l’humeur et de l’énergie et de l’activité était accompagnée d’un sentiment de bien- être et d’efficacité psychique et physique. Ces symptômes n’entravaient pas</w:t>
      </w:r>
    </w:p>
    <w:p>
      <w:r>
        <w:t>A/4710/2017 - 16/21 - forcément le fonctionnement professionnel et pouvaient même permettre une productivité professionnelle augmentée du fait d’un entrain et de l’augmentation de l’énergie et de la réduction des besoins en sommeil. L’hypomanie ne comportait pas forcément tous les signes d’une manie tels que fuite des idées incohérence, sauts du coq à l’âne, suppression du sommeil, hyperphagie, achat compulsif. Il était donc possible que par moments l’assurée puisse ne pas présenter de perturbations de l’élan vital, ni de ralentissement moteur, alors qu’à d’autres moments, elle puisse apparaître déprimée. Cette remarque du SMR ne remet ainsi pas en cause la valeur probante de l’expertise judiciaire.</w:t>
      </w:r>
    </w:p>
    <w:p>
      <w:r>
        <w:rPr>
          <w:b/>
        </w:rPr>
        <w:t>E. 5.4.1</w:t>
      </w:r>
    </w:p>
    <w:p>
      <w:r>
        <w:t>Le SMR a remarqué que dans son rapport de décembre 2020 l’experte neuropsychologue décrivait : « une mémoire de travail dans les normes, une mémoire épisodique verbale déficitaire en apprentissage, limite en différé, et une mémoire épisodique visuo-spatiale dans les normes ». En tenant compte de plus d’une absence de validation des tests, il était difficile de conclure à une déficience sévère de la mémoire de manière objective. Ainsi, les plaintes de l’assurée sur ses troubles mnésiques étaient subjectives.</w:t>
      </w:r>
    </w:p>
    <w:p>
      <w:r>
        <w:rPr>
          <w:b/>
        </w:rPr>
        <w:t>E. 5.4.2</w:t>
      </w:r>
    </w:p>
    <w:p>
      <w:r>
        <w:t>Sous discussion, l’experte a indiqué que l’expertisée avait d’importants troubles de la mémoire de fixation, qui pouvaient la mettre dans des situations dangereuses (en laissant le four ou le fer à repasser allumés par exemple). Ces troubles mnésiques avaient été confirmés lors de l’examen neuropsychologique de décembre 2020. Les tests de validation effectués lors de celui-ci étaient destinés à repérer les simulateurs. Dans le cas d’espèce, ces tests étaient positifs. Mais, selon la neuropsychologue, l’assurée avait progressé dans ces tests au fil de la passation, ce qui n’aurait pas été le cas d’un simulateur. Il apparaissait plutôt que l’assurée avait une difficulté à participer et à se mettre en route dans une activité. À la fin du bilan neuropsychologique, elle avait été contente d’avoir pu s’investir dans quelque chose de mental, mais elle l’avait fait avec une grande lenteur et de nombreuses difficultés. Lors de la passation de tests en cabinet, la même constatation avait été faite. Même si elle était collaborante, l’assurée avait rempli les quatre tests très lentement. Ses mémoires étaient fortement impactées. L’experte a également indiqué que, de façon générale, une symptomatologie dépressive était la plupart du temps assortie de troubles mnésiques et que ceux-ci persistaient souvent longtemps après l’amélioration des autres symptômes. Les troubles mnésiques importants objectivés cliniquement chez l’assurée pouvaient s’inscrire dans le tableau dépressif récurrent. L’experte a également mentionné dans son expertise que l’assurée ne faisait rien de ses journées, qu’elle essayait de lire mais ne retenait pas grand-chose et qu’elle regardait la télévision sans se rappeler des programmes. La remarque du SMR ne suffit pas à remettre en cause l’expertise judiciaire.</w:t>
      </w:r>
    </w:p>
    <w:p>
      <w:r>
        <w:t>A/4710/2017 - 17/21 -</w:t>
      </w:r>
    </w:p>
    <w:p>
      <w:r>
        <w:rPr>
          <w:b/>
        </w:rPr>
        <w:t>E. 5.5</w:t>
      </w:r>
    </w:p>
    <w:p>
      <w:r>
        <w:t>L’analyse faite par l’experte des indicateurs de gravité développés par le Tribunal fédéral est convaincante. Il en ressort en effet que l’atteinte psychiatrique dont souffre la recourante est grave et qu’elle l’impacte de manière conséquente dans sa vie quotidienne, en particulier en raison de ses troubles mnésiques, en raison desquelles elle dépend en grande partie de l’aide de sa fille. Ces troubles ont été constatés dès 2011 par le Dr E______, puis confirmés par la suite, notamment par le rapport d’examen neuropsychologique du 12 décembre 2020, tel que commenté par l’experte, sous la rubrique discussion de son rapport. S’agissant de la cohérence, l’expert n’a pas constaté d’exagération des symptômes et a relevé que la symptomatologie mixte mêlait à la fois un ralentissement psychomoteur, une lenteur à la tâche et une certaine familiarité avec labilité émotionnelle, ce qui donnait une impression de non cohérence, qui était toutefois due au diagnostic. Cela peut expliquer les conclusions différentes des autres experts. Il ressort de l’expertise que l’atteinte à la santé limite l’assurée de manière semblable dans son activité professionnelle ou dans l’exécution de ses travaux habituels et dans les autres activités (par exemple, les loisirs). Sa vie sociale est plus limitée qu’avant son atteinte à la santé, quand bien même elle n’est pas inexistante. La recourante souffre de douleurs, qui ont été constatées par l’experte. Le Dr C______ a retenu, le 25 octobre 2004, qu’elle souffrait d’un état douloureux chronique diffus présent depuis 1988 environ, de discrets troubles statiques rachidiens, de psoriasis touchant en particulier le dos des mains, de troubles somatoformes douloureux avec plusieurs signes de non-organicité et suspicion de fibromyalgie en 2001. Cette atteinte constitue un comorbidité, qui réduit les ressources de recourante. La recourante est compliante, ce qui ressort des rapports médicaux et d’un dosage de Depakin effectué par l’experte, mais les traitements n’annulent pas les crises avec des symptômes dépressifs ou hypomanes. Selon l’experte, il est caractéristique du trouble bipolaire de résister au traitement d’apparaître tout au long de la vie malgré une bonne prise en charge.</w:t>
      </w:r>
    </w:p>
    <w:p>
      <w:r>
        <w:rPr>
          <w:b/>
        </w:rPr>
        <w:t>E. 5.6</w:t>
      </w:r>
    </w:p>
    <w:p>
      <w:r>
        <w:t>En conclusion, l’expertise et les conclusions de la Dresse K______ doivent se voir reconnaître une pleine valeur probante.</w:t>
      </w:r>
    </w:p>
    <w:p>
      <w:r>
        <w:rPr>
          <w:b/>
        </w:rPr>
        <w:t>E. 6</w:t>
      </w:r>
    </w:p>
    <w:p>
      <w:r>
        <w:t>Sur cette base, il y a lieu de retenir que la recourante est totalement incapable de travailler dès juillet 2013. Il en résulte qu’un cas de révision au sens de l’art. 17 LPGA est ouvert, puisqu’il est ainsi établi que l’état de santé de la recourante s’est aggravé depuis la dernière décision entrée en force de l’OAI, qui date du 3 juin 2013.</w:t>
      </w:r>
    </w:p>
    <w:p>
      <w:r>
        <w:rPr>
          <w:b/>
        </w:rPr>
        <w:t>E. 7</w:t>
      </w:r>
    </w:p>
    <w:p>
      <w:r>
        <w:t>Il faut ensuite déterminer son taux d’invalidité.</w:t>
      </w:r>
    </w:p>
    <w:p>
      <w:r>
        <w:t>A/4710/2017 - 18/21 -</w:t>
      </w:r>
    </w:p>
    <w:p>
      <w:r>
        <w:rPr>
          <w:b/>
        </w:rPr>
        <w:t>E. 7.1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7.2.1</w:t>
      </w:r>
    </w:p>
    <w:p>
      <w:r>
        <w:t>La recourante a déposé sa nouvelle demande le 4 avril 2014. Un éventuel droit à une rente d’invalidité ne peut donc naître que six mois après celle-ci, soit dès le 1er octobre 2014, en application de l’art. 29 al. 1 et 3 LAI. À cette date, la recourante était en incapacité de travail totale depuis plus d’un an (art. 28 al. 1 LAI).</w:t>
      </w:r>
    </w:p>
    <w:p>
      <w:r>
        <w:rPr>
          <w:b/>
        </w:rPr>
        <w:t>E. 7.2.2</w:t>
      </w:r>
    </w:p>
    <w:p>
      <w:r>
        <w:t>Il convient de déterminer le statut de la recourante pour pouvoir fixer son taux d’invalidité. Dans un questionnaire servant à déterminer son statut, l’assurée a répondu le 31 mai 2002 par la négative, à la question de savoir si, en bonne santé, elle</w:t>
      </w:r>
    </w:p>
    <w:p>
      <w:r>
        <w:t>A/4710/2017 - 19/21 - exercerait une activité lucrative en plus de la tenue de son ménage. Elle avait travaillé à plein temps de 1989 à 1990 et n’avait pas repris le travail à cause de sa maladie. Selon une note sur le statut du 16 octobre 2014, l’assurée a travaillé, de 1989 à 1990, en tant que caissière à l’M______ (à 100% selon l’anamnèse de l’expertise judiciaire) et, de 1991 à 1994, en tant que femme de ménage dans un EMS à 50%. Elle avait ensuite souhaité se consacrer à sa famille et à l’éducation de sa fille, ce qui était confirmé par le fait qu’elle avait précisé dans sa demande de prestations reçue le 17 août 2009 qu’elle était femme au foyer de 1990 (année de naissance de sa fille) à 2005. Le 13 septembre 2005, elle avait divorcé. Elle ne touchait aucune contribution d’entretien de son mari et était entièrement aidée par l’Hospice général depuis le 1er mai 2005. Selon toute vraisemblance, suite à son divorce et en bonne santé, elle aurait probablement travaillé, à un taux à déterminer. Dans un avis du 8 juin 2004, il est indiqué que l’assurée, âgée de 38 ans, mariée, mère d’un enfant de 14 ans, n’a plus travaillé depuis 1990 et était ménagère. Selon son médecin traitant, elle était totalement incapable de travailler depuis le 14 septembre 2001, en raison d’un rhumatisme psoriasique. Au vu des éléments qui précèdent, il y a lieu de retenir un statut d’active pour la recourante. Sa déclaration à ce sujet de 2002 – selon laquelle elle ne travaillerait pas même en bonne santé – n’est pas déterminante, dès lors que la recourante y indiquait ne pas avoir repris le travail pour des questions de santé, ce qui ressort du rapport établi par le Prof. C______ le 25 octobre 2004, selon lequel la recourante souffrait depuis 2001 de troubles somatoformes douloureux avec plusieurs signes de non-organicité et suspicion de fibromyalgie. De plus, la situation de la recourante avait changé au moment de la décision de l’intimé, et déjà en 2014, puisque sa fille était alors adulte et qu’elle avait divorcé en 2005 et était à la charge de l’Hospice général, ne touchant pas de contribution d’entretien de son ex-mari. Dans ces circonstances, l’on peut retenir qu’en bonne santé, la recourante aurait travaillé à 100%, étant en outre relevé qu’elle avait travaillé à plein temps pour l’M______ de 1989 à 1990, soit avant la naissance de sa fille.</w:t>
      </w:r>
    </w:p>
    <w:p>
      <w:r>
        <w:rPr>
          <w:b/>
        </w:rPr>
        <w:t>E. 7.3</w:t>
      </w:r>
    </w:p>
    <w:p>
      <w:r>
        <w:t>La recourante étant totalement incapable de travailler depuis juillet 2013, elle a droit à une rente entière d’invalidité depuis le 1er octobre 2014, en vertu des art. 28 et 29 LAI.</w:t>
      </w:r>
    </w:p>
    <w:p>
      <w:r>
        <w:rPr>
          <w:b/>
        </w:rPr>
        <w:t>E. 8.1</w:t>
      </w:r>
    </w:p>
    <w:p>
      <w:r>
        <w:t>Bien fondé, le recours doit être admis et la décision du 26 octobre 2017 annulée.</w:t>
      </w:r>
    </w:p>
    <w:p>
      <w:r>
        <w:rPr>
          <w:b/>
        </w:rPr>
        <w:t>E. 8.2</w:t>
      </w:r>
    </w:p>
    <w:p>
      <w:r>
        <w:t>Une indemnité de dépens de CHF 3'000.- sera allouée à la recourante à la charge de l’intimé.</w:t>
      </w:r>
    </w:p>
    <w:p>
      <w:r>
        <w:rPr>
          <w:b/>
        </w:rPr>
        <w:t>E. 8.3</w:t>
      </w:r>
    </w:p>
    <w:p>
      <w:r>
        <w:t>Les frais qui découlent de la mise en œuvre d'une expertise judiciaire peuvent être mis à la charge de l'assureur (cf. ATF 139 V 349 consid. 5.4), si ce dernier a</w:t>
      </w:r>
    </w:p>
    <w:p>
      <w:r>
        <w:t>A/4710/2017 - 20/21 - procédé à une instruction présentant des lacunes ou des insuffisances caractérisées et que l'expertise judiciaire sert à pallier des manquements commis dans la phase d'instruction administrative (ATF 137 V 210 consid. 4.4.2). En l’espèce, une expertise judiciaire a été ordonnée par la chambre de céans le 23 juillet 2020, qui a considéré que cette mesure d’instruction était nécessaire, en raison de l’absence de valeur probante de l’expertise du Dr I______. Il se justifie, en conséquence, de mettre les frais de l’expertise à la charge de l’intimé.</w:t>
      </w:r>
    </w:p>
    <w:p>
      <w:r>
        <w:rPr>
          <w:b/>
        </w:rPr>
        <w:t>E. 8.4</w:t>
      </w:r>
    </w:p>
    <w:p>
      <w:r>
        <w:t>Un émolument de CHF 200.- sera mis à la charge de l’intimé (art. 69 al. 1bis LAI).</w:t>
      </w:r>
    </w:p>
    <w:p>
      <w:r>
        <w:t>A/4710/2017 - 21/21 -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