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ATAS/518/2019 vom 11. Juni 2019</w:t>
      </w:r>
    </w:p>
    <w:p>
      <w:r>
        <w:t>GE Cour de justice, 2019-06-11, FR</w:t>
      </w:r>
    </w:p>
    <w:p>
      <w:r>
        <w:rPr>
          <w:b/>
        </w:rPr>
        <w:t xml:space="preserve">Quelle: </w:t>
      </w:r>
      <w:r>
        <w:t>https://mcp.opencaselaw.ch/entscheid/ge_gerichte_ATAS_518_2019</w:t>
      </w:r>
    </w:p>
    <w:p>
      <w:r>
        <w:t>FR: GE_GERICHTE ATAS/518/2019 du 11 juin 2019</w:t>
      </w:r>
    </w:p>
    <w:p>
      <w:r>
        <w:t>IT: GE_GERICHTE ATAS/518/2019 del 11 giugno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Interjetés dans les forme et délai prévus par la loi, les recours sont recevables (art. 56 à 61 LPGA et 38 al. 3 LPGA).</w:t>
      </w:r>
    </w:p>
    <w:p>
      <w:r>
        <w:rPr>
          <w:b/>
        </w:rPr>
        <w:t>E. 3</w:t>
      </w:r>
    </w:p>
    <w:p>
      <w:r>
        <w:t>Le litige porte sur le non-paiement des primes LAMal des mois d’avril et mai, et de juillet à décembre 2017, ainsi que les participations aux coûts 2016, concernant la fille de l’intéressée.</w:t>
      </w:r>
    </w:p>
    <w:p>
      <w:r>
        <w:rPr>
          <w:b/>
        </w:rPr>
        <w:t>E. 4</w:t>
      </w:r>
    </w:p>
    <w:p>
      <w:r>
        <w:t>L’intéressée persiste à faire valoir qu’elle n’a signé aucun contrat avec l’assureur. Elle en conclut qu’elle n’est pas assurée auprès de celui-ci, et conteste être débitrice des primes d’assurance-maladie et des participations aux coûts concernant sa fille. Force est de constater que ces deux questions ont été tranchées par la chambre de céans dans son arrêt du 25 octobre 2016 (ATAS/867/2016).</w:t>
      </w:r>
    </w:p>
    <w:p>
      <w:r>
        <w:rPr>
          <w:b/>
        </w:rPr>
        <w:t>E. 5</w:t>
      </w:r>
    </w:p>
    <w:p>
      <w:r>
        <w:t>Il y a dès lors lieu de rappeler, à nouveau, qu’un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w:t>
      </w:r>
    </w:p>
    <w:p>
      <w:r>
        <w:t>A/921/2018 - 5/10 - 2a; ATF 121 III 474 consid. 4a;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ATF 125 III 8 consid. 3b; ATF 123 III 16 consid. 2a; ATF 121 III 474 consid. 4a ; arrêt du Tribunal fédéral 9C_146/2012 du 12 novembre 2012 consid. 4.1).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non publié 4.2; ATF 120 V 233 consid. 1a et les références; ATF 137 I 327 consid. non publié 1.3). L'effet contraignant vaut en règle générale aussi pour l'autorité cantonale de renvoi lorsqu'elle est à nouveau saisie du litige, mais pas pour le Tribunal fédéral (ATF 138 V 298 consid. non publié 4.2; arrêt du Tribunal fédéral 9C_204/2012 du 4 avril 2012 consid. 2.3.3).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 du Tribunal fédéral 9C_837/2011 du 29 juin 2012 consid. 5.2; arrêt du Tribunal fédéral 9C_407/2008</w:t>
      </w:r>
    </w:p>
    <w:p>
      <w:r>
        <w:t>A/921/2018 - 6/10 - du 6 avril 2009 consid. 1.1; arrêt du Tribunal fédéral 2C_184/2007 du 4 septembre 2007 consid. 3.1). Dans son arrêt du 25 octobre 2016, la chambre de céans a jugé que l’intéressée était débitrice pour sa fille des primes d’assurance-maladie et des participations aux coûts relevant de l’assurance obligatoire des soins. Elle l’est, partant, s’agissant des primes des mois d’avril, mai, juillet, août, septembre, octobre, novembre et décembre 2017.</w:t>
      </w:r>
    </w:p>
    <w:p>
      <w:r>
        <w:rPr>
          <w:b/>
        </w:rPr>
        <w:t>E. 6</w:t>
      </w:r>
    </w:p>
    <w:p>
      <w:r>
        <w:t>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par année. L’art. 105b OAMal stipule que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w:t>
      </w:r>
    </w:p>
    <w:p>
      <w:r>
        <w:rPr>
          <w:b/>
        </w:rPr>
        <w:t>E. 7</w:t>
      </w:r>
    </w:p>
    <w:p>
      <w:r>
        <w:t>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w:t>
      </w:r>
    </w:p>
    <w:p>
      <w:r>
        <w:t>A/921/2018 - 7/10 - fédéral 9C_870/2015 et 9C_874/2015 du 4 février 2016 consid. 4.1 ; ATAS/663/2017 du 31 juillet 2017).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w:t>
      </w:r>
    </w:p>
    <w:p>
      <w:r>
        <w:rPr>
          <w:b/>
        </w:rPr>
        <w:t>E. 11</w:t>
      </w:r>
    </w:p>
    <w:p>
      <w:r>
        <w:t>Reste à examiner si les frais administratifs pris en considération par l’assureur sont excessifs. Il est indéniable que les retards de paiement ont contraint l’assureur à déployer une activité de rappel, de sommation, puis de recouvrement. La chambre de céans a déjà eu l’occasion de juger que les frais réclamés (frais de rappel et de sommation de CHF 30.- et frais d’ouverture de dossier de CHF 120.-) se trouvaient en adéquation et dans un rapport raisonnable avec les prestations qu’il avait dû fournir, en l’occurrence la préparation et l’envoi de sommations et l’ouverture du dossier de poursuite (ATAS/663/2017 du 31 juillet 2017).</w:t>
      </w:r>
    </w:p>
    <w:p>
      <w:r>
        <w:t>A/921/2018 - 9/10 - Au regard de cet arrêt, il faut admettre que les frais de sommation ainsi que les frais d’ouverture du dossier pour les montants en souffrance concernés ne sont pas excessifs et ne procurent à l’assureur aucun enrichissement, de sorte qu'il n’y a pas lieu de les réduire.</w:t>
      </w:r>
    </w:p>
    <w:p>
      <w:r>
        <w:rPr>
          <w:b/>
        </w:rPr>
        <w:t>E. 12</w:t>
      </w:r>
    </w:p>
    <w:p>
      <w:r>
        <w:t>S’agissant des intérêts moratoires de 5%, ils sont expressément prévus par les art. 26 al. 1 LPGA et 105a OAMal.</w:t>
      </w:r>
    </w:p>
    <w:p>
      <w:r>
        <w:rPr>
          <w:b/>
        </w:rPr>
        <w:t>E. 13</w:t>
      </w:r>
    </w:p>
    <w:p>
      <w:r>
        <w:t>Quant aux frais de poursuite, l’art. 68 al. 1 LP prévoit expressément qu’ils sont à la charge du débiteur, même si le créancier en fait l’avance. Ces frais sont donc également dus par le recourant poursuivi, et suivent le sort de la poursuite, sans qu’il soit nécessaire de prononcer la mainlevée de l’opposition à leur égard.</w:t>
      </w:r>
    </w:p>
    <w:p>
      <w:r>
        <w:rPr>
          <w:b/>
        </w:rPr>
        <w:t>E. 14</w:t>
      </w:r>
    </w:p>
    <w:p>
      <w:r>
        <w:t>La mainlevée de l’opposition faite aux commandements de payer dans les poursuites n° 1______ S, 2______ Y et 3______ C est prononcée. La procédure est gratuite (art. 61 let. a LPGA). Il n’y a pas lieu à allocation d’une indemnité de procédure, ni à l'intéressée, vu l’issue donnée au recours (art. 61 let. g LPGA), ni à l’assureur en tant qu’assureur social (Ueli KIESER, ATSG Kommentar, 3ème éd., 2015, n. 199 s. ad art. 61). Au vu de ce qui précède, les recours seront rejetés.</w:t>
      </w:r>
    </w:p>
    <w:p>
      <w:r>
        <w:t>A/921/2018 - 10/10 -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