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ATAS/518/2014 vom 15. April 2014</w:t>
      </w:r>
    </w:p>
    <w:p>
      <w:r>
        <w:t>GE Cour de justice, 2014-04-15, FR</w:t>
      </w:r>
    </w:p>
    <w:p>
      <w:r>
        <w:rPr>
          <w:b/>
        </w:rPr>
        <w:t xml:space="preserve">Quelle: </w:t>
      </w:r>
      <w:r>
        <w:t>https://mcp.opencaselaw.ch/entscheid/ge_gerichte_ATAS_518_2014</w:t>
      </w:r>
    </w:p>
    <w:p>
      <w:r>
        <w:t>FR: GE_GERICHTE ATAS/518/2014 du 15 avril 2014</w:t>
      </w:r>
    </w:p>
    <w:p>
      <w:r>
        <w:t>IT: GE_GERICHTE ATAS/518/2014 del 15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w:t>
      </w:r>
    </w:p>
    <w:p>
      <w:r>
        <w:t>A/3065/2013 - 8/15 -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Le litige porte sur le droit de l'assurée à une rente d'invalidité, sur son statut et les empêchements résultants de ses atteintes à la santé.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w:t>
      </w:r>
    </w:p>
    <w:p>
      <w:r>
        <w:t>A/3065/2013 - 9/15 - tenir compte de l'incidence économique de l'atteinte à la santé (ATF 114 V 281 consid. 1c et 310 consid. 3c; RAMA 1996 n° U 237 p. 36 consid. 3b).</w:t>
      </w:r>
    </w:p>
    <w:p>
      <w:r>
        <w:rPr>
          <w:b/>
        </w:rPr>
        <w:t>E. 8</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w:t>
      </w:r>
    </w:p>
    <w:p>
      <w:r>
        <w:t>A/3065/2013 - 10/15 -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A/3065/2013 - 11/15 -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12</w:t>
      </w:r>
    </w:p>
    <w:p>
      <w:r>
        <w:t>En l'espèce, l'OAI s'est fondé sur l'expertise du Dr S__________ pour refuser toute prestation à l'assurée. Le rapport de ce dernier remplit les conditions objectives de</w:t>
      </w:r>
    </w:p>
    <w:p>
      <w:r>
        <w:t>A/3065/2013 - 12/15 - la jurisprudence pour se voir reconnaître valeur probante, reste à examiner si les rapports des médecins traitants font état d'éléments objectifs mettant sérieusement en doute les conclusions du Dr S__________. En préambule, il convient de définir le statut de l'assurée. L'OAI avait retenu un statut professionnel, partant de l'idée qu'au vu des revenus faibles et irréguliers du mari et de l'inscription de l'assurée au chômage, celle-ci aurait travaillé sans atteinte à la santé. L'assurée et son conseil affirment et confirment que l'assurée n'a jamais travaillé et n'a jamais eu l'intention de le faire, de sorte qu'il convenait d'admettre un statut de ménagère. La Cour n'a pas de motif de s'écarter des affirmations de l'assurée et retiendra donc un tel statut, étant précisé qu'en présence d'une pleine capacité de travail dans une activité lucrative manuelle, simple et répétitive, il n'y a pas de place pour une invalidité ménagère, en raison d'exigences de rendement incomparables et de l'obligation accrue de réduire le dommage dans la sphère ménagère selon la jurisprudence. Du point de vue somatique, l'accident de 1997 et ses séquelles au niveau du genou sont sans répercussion sur la capacité de travail et ménagère de l'assurée, au vu des quelques limitations retenues par son médecin traitant (légère limitation de la mobilité), de la claire disproportion des plaintes de l'assurée relevées par le médecin du CIP et de l'absence de pathologie objectivée selon les HUG, en 2001. Du point de vue ostéoarticulaire, globalement, aucun des médecins traitants ne met en avant de pathologie cervico-dorso-lombaire objectivement invalidante et les douleurs liées à ce syndrome vertébral n'empêchent l'assurée ni de travailler, ni de s'occuper de son ménage, le cas échéant à son rythme, en fractionnant les tâches. Au surplus, la Dresse Q__________ confirme que les données objectives constatées par le Dr S__________ sont complètes, mais conteste l'interprétation qui en est faite. Sur certains point, en effet, l'expertise du Dr S__________ ne convainc pas, bien que cela reste finalement sans conséquence sur la présente cause. L’expert n’a pas retenu les conséquences des thromboses digitales, ni l’important prurit généré par le contact avec l’eau. Il semble avoir rapidement exclu un problème de polyarthrose et a omis de mentionner le diagnostic d’hypertension. Cela étant dit, la Dresse Q__________ ne remet pas en cause les conclusions du Dr S__________ sur l’absence d’impact de ces pathologies sur la capacité de travail de l’assurée. Les thromboses ayant permis le diagnostic de polyglobulie n’interfèrent pas avec la capacité de travail. Le traitement myélosuppresseur permet de retrouver des valeurs hématologiques normales et le médecin-traitant mentionne uniquement que le traitement influence l’état général. Mis en relation avec l’avis du Dr T__________, on comprend de cette affirmation que l’assurée présente une certaine fatigue. Au surplus, l’éventualité d’une polyarthrose n’est pas précisée et la Dresse Q__________ n’indique pas en quoi cela limiterait l’activité professionnelle ou ménagère de l’assurée. S’agissant de l’hypertension, le traitement a stabilisé et permet de contrôler la situation. En d’autres termes, si l’on comprend des explications de la Dresse Q__________ que l’ensemble des pathologies et des traitements ont un effet sur l’état général de l’assurée, sans précision et s'il s'agit de</w:t>
      </w:r>
    </w:p>
    <w:p>
      <w:r>
        <w:t>A/3065/2013 - 13/15 - fatigue, non seulement celle-ci n’est pas objectivée, mais encore cela ne permet-il pas de retenir que cela impliquerait une incapacité de travail de 40% au moins ou d’importants empêchements dans le ménage, eu égard aux exigences de la jurisprudence à ce sujet. Ainsi, la totale incapacité de travail dans toute activité retenue par la Dresse Q__________ ne convainc pas. S'agissant du prurit intense, lequel serait assurément, comme l’affirme le conseil de l’assurée, un frein important à la reprise d’un emploi, eu égard à l’aspect de l’assurée, il reste sans conséquence dans le cadre de l’activité ménagère, sous réserve des tâches ménagères impliquant l’utilisation de l’eau (vaisselle, nettoyage des sanitaires et de la cuisine et des sols), qui peuvent être assumées par les autres membres de la famille. Du point de vue psychique, certes le Dr S__________ n'est pas psychiatre, mais les autres avis au dossier permettent de confirmer l'absence de pathologie invalidante sur la capacité en tout cas ménagère de l'assurée, voire même sur sa capacité de travail. D'une part, l'assurée n'a jamais poursuivi de traitement psychiatrique, ni médicamenteux et elle ne consulte que pour les besoins de la procédure. D'autre part, le seul rapport de spécialiste, soit celui du Dr R__________, du 17 juin 2011, retient non seulement une capacité de travail de 50%, mais de surcroît la motive par les difficultés de la patiente à se mobiliser, à gérer le stress et au vu de la longue période d’inactivité, le trouble anxieux et dépressif mixte n’ayant pas été traité selon les règles de l’art entre la période de consultation de janvier à juillet 2010 et la consultation de mai 2011, en vue du rapport destiné à l’OAI. Hormis le facteur de stress, ce sont donc surtout des motifs sociaux qui limitent la capacité de travail de l’assurée du point de vue psychique, de sorte qu’il est établi au degré de la vraisemblance prépondérante que l'assurée souffre d'une affection psychiatrique qui, avec un traitement adéquat, aurait des conséquences sur la capacité de travail. A cet égard, un assuré capable de travailler à 50%, compte tenu des exigences de rendement et de ponctualité de toute activité professionnelle, peut sans difficulté assumer l’intégralité de ses tâches ménagères.</w:t>
      </w:r>
    </w:p>
    <w:p>
      <w:r>
        <w:rPr>
          <w:b/>
        </w:rPr>
        <w:t>E. 13</w:t>
      </w:r>
    </w:p>
    <w:p>
      <w:r>
        <w:t>Pour l'ensemble des motifs qui précèdent, la Cour estime qu’il n’est pas nécessaire, d’une part, d’ordonner une expertise psychiatrique, dès lors qu’il est établi au degré de la vraisemblance prépondérante que l’assurée n’est pas empêchée dans ses tâches ménagères de ce point de vue-là. S’agissant des conséquences – limitées – de l’ensemble des troubles somatiques de l’assurée, sur sa capacité ménagère, il y a lieu de préciser que l’assurée vit avec son mari et sa fille, lesquels doivent, en vertu du principe de limitation du dommage établi par la jurisprudence, participer aux tâches ménagères dans une proportion accrue, de sorte qu’il est également établi, au degré de la vraisemblance prépondérante, qu’après avoir pris en compte l’exigibilité liée à l’aide des membres de la famille, le degré d’empêchement ménager n’atteindrait certainement pas 40%, de sorte que l’assurée n’aurait quoi qu’il en soit pas droit à une rente d’invalidité. Pour ce motif, il n’est pas non plus utile d’ordonner une enquête ménagère.</w:t>
      </w:r>
    </w:p>
    <w:p>
      <w:r>
        <w:t>A/3065/2013 - 14/15 - Il est ainsi établi que l’assurée ne présente pas de limitations somatiques et/ou psychiques impliquant une incapacité ménagère atteignant 40%, de sorte que c’est à juste titre que l’OAI a refusé toute rente à l’assurée, la question d’un reclassement professionnel ne se posant pas, au vu de la position de principe de l’assurée quant à son statut de ménagère.</w:t>
      </w:r>
    </w:p>
    <w:p>
      <w:r>
        <w:rPr>
          <w:b/>
        </w:rPr>
        <w:t>E. 14</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w:t>
      </w:r>
    </w:p>
    <w:p>
      <w:r>
        <w:t>A/3065/2013 - 15/15 -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