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ATAS/518/2013 vom 16. Mai 2013</w:t>
      </w:r>
    </w:p>
    <w:p>
      <w:r>
        <w:t>GE Cour de justice, 2013-05-16, FR</w:t>
      </w:r>
    </w:p>
    <w:p>
      <w:r>
        <w:rPr>
          <w:b/>
        </w:rPr>
        <w:t xml:space="preserve">Quelle: </w:t>
      </w:r>
      <w:r>
        <w:t>https://mcp.opencaselaw.ch/entscheid/ge_gerichte_ATAS_518_2013</w:t>
      </w:r>
    </w:p>
    <w:p>
      <w:r>
        <w:t>FR: GE_GERICHTE ATAS/518/2013 du 16 mai 2013</w:t>
      </w:r>
    </w:p>
    <w:p>
      <w:r>
        <w:t>IT: GE_GERICHTE ATAS/518/2013 del 16 maggio 2013</w:t>
      </w:r>
    </w:p>
    <w:p>
      <w:pPr>
        <w:pStyle w:val="Heading2"/>
      </w:pPr>
      <w:r>
        <w:t>Erwägungen</w:t>
      </w:r>
    </w:p>
    <w:p>
      <w:r>
        <w:rPr>
          <w:b/>
        </w:rPr>
        <w:t>E. 1</w:t>
      </w:r>
    </w:p>
    <w:p>
      <w:r>
        <w:t>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w:t>
      </w:r>
    </w:p>
    <w:p>
      <w:r>
        <w:t>A/3275/2012 - 4/8 - La compétence de la Cour de céans pour juger du cas d’espèce est ainsi établie, tant à raison de la matière que du lieu puisqu’en vertu de l’art. 58 al. 2 LPGA, lorsque l’assuré est domicilié à l’étranger, le tribunal des assurances compétent est celui du canton du dernier domicile en Suisse, soit, en l’occurrence, Genève.</w:t>
      </w:r>
    </w:p>
    <w:p>
      <w:r>
        <w:rPr>
          <w:b/>
        </w:rPr>
        <w:t>E. 2</w:t>
      </w:r>
    </w:p>
    <w:p>
      <w:r>
        <w:t>En l’occurrence, le litige se limite à la question de savoir si c’est valablement que l’intimée a suspendu avec effet immédiat le versement de la rente allouée jusqu’alors au recourant. En premier lieu, il convient d’examiner si la décision du 27 juillet 2012 est entrée en force, ce que le recourant nie au motif que les voies de droit auraient été lacunaires.</w:t>
      </w:r>
    </w:p>
    <w:p>
      <w:r>
        <w:rPr>
          <w:b/>
        </w:rPr>
        <w:t>E. 3</w:t>
      </w:r>
    </w:p>
    <w:p>
      <w:r>
        <w:t>Selon un principe général du droit administratif, une notification irrégulière ne peut entraîner aucun préjudice pour les parties (art. 49 al. 3 dernière phrase LPGA) de sorte que la décision affectée d'un tel vice doit en principe être considérée comme nulle. Toutefois, selon la jurisprudence, toute notification irrégulière n’est pas nécessairement nulle; la protection des parties est suffisamment garantie lorsque la notification irrégulière atteint son but malgré cette irrégularité ;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 ainsi l'intéressé doit agir dans un délai raisonnable dès qu'il a connaissance, de quelque manière que ce soit, de la décision qu'il entend contester (ATF 122 I 99 consid. 3a/aa, 111 V 150 consid. 4c et les références; RAMA 1997 n° U 288 p. 444 s. consid. 2b/bb; ZBl 95/1994 p. 530 consid. 2; Jean-François Egli, La protection de la bonne foi dans le procès, in : Juridiction constitutionnelle et juridiction administrative, Zürich 1992, p. 231 s.). Cela signifie notamment qu'une décision, fût-elle notifiée de manière irrégulière, peut entrer en force si elle n'est pas déférée au juge dans un délai raisonnable (SJ 2000 I p. 118).</w:t>
      </w:r>
    </w:p>
    <w:p>
      <w:r>
        <w:rPr>
          <w:b/>
        </w:rPr>
        <w:t>E. 4</w:t>
      </w:r>
    </w:p>
    <w:p>
      <w:r>
        <w:t>En l’espèce, le recourant, lors de son audition par un collaborateur de l’intimée le 11 juillet 2012, a expressément demandé que toute décision soit envoyée à son adresse personnelle, précisant qu’il consulterait si nécessaire son ancien avocat mais que ce dernier n’avait pas encore pour mandat de représenter ses intérêts (cf. fin du procès-verbal du 11 juillet 2012, pce SUVA 753). On ne saurait ainsi faire grief à l’intimée d’avoir notifié sa décision du 27 juillet 2012 directement à l’assuré. Quant aux voies de droit figurant sur ladite décision, s’il est vrai qu’elles ne mentionnent que le « tribunal cantonal des assurances sociales » - sans préciser lequel -, l’irrégularité ne paraît pas de nature à avoir empêché l’assuré de défendre ses intérêts en temps utile. Il n’est pas faux de lui avoir indiqué qu’il devait s’adresser au tribunal cantonal. Dans le doute, il paraît évident qu’il aurait dû saisir celui de son dernier domicile – ce qu’il a finalement fait -, voire n’importe quel</w:t>
      </w:r>
    </w:p>
    <w:p>
      <w:r>
        <w:t>A/3275/2012 - 5/8 - autre tribunal cantonal - qui aurait transmis la cause à l’autorité compétente. Dûment informé de la décision rendue à son encontre et du fait qu’il disposait d’un délai de trente jours pour interjeter recours, l’assuré pouvait également se renseigner auprès de l’avocat qu’il avait d’ores et déjà indiqué vouloir consulter. Ainsi que cela a été rappelé supra, il y a lieu de s'en tenir aux règles de la bonne foi, qui imposent une limite à l'invocation d'un vice de forme. Le recourant se devait d’agir dans un délai raisonnable dès qu'il a eu connaissance de la décision qu'il entendait contester, ce qu’il n’a pas fait, préférant attendre la fin du mois de novembre 2012 pour agir. Dans ces circonstances, c’est en vain que le recourant soutient que la décision litigieuse ne serait pas entrée en force. Son recours, intervenu tardivement, doit être déclaré irrecevable.</w:t>
      </w:r>
    </w:p>
    <w:p>
      <w:r>
        <w:rPr>
          <w:b/>
        </w:rPr>
        <w:t>E. 5</w:t>
      </w:r>
    </w:p>
    <w:p>
      <w:r>
        <w:t>Pour le reste, la décision du 27 juillet 2012, si elle est effectivement peu motivée, ne saurait être qualifiée de nulle à ce titre. C’est le lieu de rappeler que, selon un principe général, la nullité d'un acte commis en violation de la loi doit résulter ou bien d'une disposition légale expresse, ou bien du sens et du but de la norme en question (ATF 122 I 98 sv. consid. 3a; Pra 2000 no 161 p. 972 sv. consid. 3a).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en raison de l'importance de la norme violée,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129 I 363 sv. consid. 2 et 2.1 et les références). Force est de constater qu’en l’espèce, aucun motif de nullité n’existe. Ainsi que cela a été dit, la motivation de la décision est certes brève mais il est fait expressément référence aux motifs indiqués de vive voix à l’assuré lors de l’entretien du 11 juillet précédent, entretien ayant donné lieu à un procès-verbal détaillé. Il ressort de ce document que le recourant a alors été informé qu’il avait fait l’objet d’une enquête, qu’il a pu prendre connaissance des photographies et du DVD fournis par l’enquêteur, que le collaborateur de l’intimée l’a informé des doutes nourris quant à l’importance de son handicap et que l’intimée se proposait de suspendre le versement de la rente en attendant le résultat de ses investigations complémentaires. Le recourant disposait donc de tous les éléments utiles à comprendre la motivation de la décision dont il a fait l’objet. Le grief de nullité invoqué par le recourant doit donc être écarté.</w:t>
      </w:r>
    </w:p>
    <w:p>
      <w:r>
        <w:t>A/3275/2012 - 6/8 -</w:t>
      </w:r>
    </w:p>
    <w:p>
      <w:r>
        <w:rPr>
          <w:b/>
        </w:rPr>
        <w:t>E. 6</w:t>
      </w:r>
    </w:p>
    <w:p>
      <w:r>
        <w:t>Reste à examiner si l’on peut faire grief à l’intimée de n’avoir pas encore rendu de décision au fond depuis la suspension – à titre provisionnel – de la rente, fin juillet 2012. a) 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et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 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w:t>
      </w:r>
    </w:p>
    <w:p>
      <w:r>
        <w:t>A/3275/2012 - 7/8 -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b) En l'espèce, près de dix mois se sont écoulés depuis la suspension provisionnelle du versement de la rente. Depuis lors, les seules démarches entreprises par l’intimée ont été la mise sur pied d’une expertise orthopédique auprès du Dr A__________, le 5 novembre 2012. A l’heure actuelle, aucune décision au fond n’a été rendue, alors même que le principe de célérité devrait particulièrement être respecté s’agissant d’une décision faisant suite à des mesures provisionnelles. Le délai de dix mois semble encore insuffisant pour considérer qu’il y a bel et bien déni de justice mais la Cour de céans invite l’intimée à faire diligence et à statuer dans les meilleurs délais.</w:t>
      </w:r>
    </w:p>
    <w:p>
      <w:r>
        <w:t>A/3275/2012 - 8/8 -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