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ATAS/517/2021 vom 27. Mai 2021</w:t>
      </w:r>
    </w:p>
    <w:p>
      <w:r>
        <w:t>GE Cour de justice, 2021-05-27, FR</w:t>
      </w:r>
    </w:p>
    <w:p>
      <w:r>
        <w:rPr>
          <w:b/>
        </w:rPr>
        <w:t xml:space="preserve">Quelle: </w:t>
      </w:r>
      <w:r>
        <w:t>https://mcp.opencaselaw.ch/entscheid/ge_gerichte_ATAS_517_2021</w:t>
      </w:r>
    </w:p>
    <w:p>
      <w:r>
        <w:t>FR: GE_GERICHTE ATAS/517/2021 du 27 mai 2021</w:t>
      </w:r>
    </w:p>
    <w:p>
      <w:r>
        <w:t>IT: GE_GERICHTE ATAS/517/2021 del 27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A/1352/2020 - 10/27 -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pendant, au 1er janvier 2021, devant la chambre de céans, il reste soumis à l'ancien droit (cf. art. 83 LPGA).</w:t>
      </w:r>
    </w:p>
    <w:p>
      <w:r>
        <w:rPr>
          <w:b/>
        </w:rPr>
        <w:t>E. 4</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l’espèce, au vu des faits pertinents jusqu’à la décision du 31 mars 2020, le droit éventuel aux prestations doit être examiné en fonction des modifications de la LAI, dans la mesure de leur pertinence (ATF 130 V 445 et les références; voir également ATF 130 V 329).</w:t>
      </w:r>
    </w:p>
    <w:p>
      <w:r>
        <w:rPr>
          <w:b/>
        </w:rPr>
        <w:t>E. 4.3</w:t>
      </w:r>
    </w:p>
    <w:p>
      <w:r>
        <w:t>et la référence ; arrêt du Tribunal fédéral 9C_724/2018 du 11 juillet 2019 consid. 7). En l’absence d’un diagnostic psychiatrique, une telle appréciation n’a</w:t>
      </w:r>
    </w:p>
    <w:p>
      <w:r>
        <w:t>A/1352/2020 - 13/27 - pas non plus à être effectuée (arrêt du Tribunal fédéral 9C_176/2018 du 16 août 2018 consid. 3.2.2).</w:t>
      </w:r>
    </w:p>
    <w:p>
      <w:r>
        <w:rPr>
          <w:b/>
        </w:rPr>
        <w:t>E. 5</w:t>
      </w:r>
    </w:p>
    <w:p>
      <w:r>
        <w:t>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LPA - E 5 10). Selon l'art. 1 de l'ordonnance sur la suspension des délais dans les procédures civiles et administratives pour assurer le maintien de la justice en lien avec le coronavirus (COVID-19) du 20 mars 2020 (ci-après l'ordonnance sur la suspension)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Selon l'art. 2 de l'ordonnance précitée, celle-ci entre en vigueur le 21 mars 2020 à 0h00 et a effet jusqu'au 19 avril 2020.</w:t>
      </w:r>
    </w:p>
    <w:p>
      <w:r>
        <w:rPr>
          <w:b/>
        </w:rPr>
        <w:t>E. 6</w:t>
      </w:r>
    </w:p>
    <w:p>
      <w:r>
        <w:t>Interjeté dans la forme et le délai prévus par la loi, compte tenu de la suspension des délais jusqu’au 19 avril 2020, le recours est recevable.</w:t>
      </w:r>
    </w:p>
    <w:p>
      <w:r>
        <w:t>A/1352/2020 - 11/27 -</w:t>
      </w:r>
    </w:p>
    <w:p>
      <w:r>
        <w:rPr>
          <w:b/>
        </w:rPr>
        <w:t>E. 7</w:t>
      </w:r>
    </w:p>
    <w:p>
      <w:r>
        <w:t>Le litige porte sur le bien-fondé de la décision de l’OAI du 31 mars 2020 refusant toute prestation d’invalidité à la recourante.</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9</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w:t>
      </w:r>
    </w:p>
    <w:p>
      <w:r>
        <w:t>A/1352/2020 - 12/27 -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10</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w:t>
      </w:r>
    </w:p>
    <w:p>
      <w:r>
        <w:t>A/1352/2020 - 14/27 -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w:t>
      </w:r>
    </w:p>
    <w:p>
      <w:r>
        <w:t>A/1352/2020 - 15/27 -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w:t>
      </w:r>
    </w:p>
    <w:p>
      <w:r>
        <w:t>A/1352/2020 - 16/27 -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11</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w:t>
      </w:r>
    </w:p>
    <w:p>
      <w:r>
        <w:t>A/1352/2020 - 17/27 -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12</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13</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14</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t>A/1352/2020 - 18/27 -</w:t>
      </w:r>
    </w:p>
    <w:p>
      <w:r>
        <w:rPr>
          <w:b/>
        </w:rPr>
        <w:t>E. 15</w:t>
      </w:r>
    </w:p>
    <w:p>
      <w:r>
        <w:t>juin 2018 consid. 5.1).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A/1352/2020 - 20/27 - ces avis et il y a lieu de mettre en œuvre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i. On ajoutera qu'en cas de divergence d’opinion entre experts et médecins traitants, il n'est pas, de manière générale, nécessaire de mettre en œuvre une nouvelle</w:t>
      </w:r>
    </w:p>
    <w:p>
      <w:r>
        <w:t>A/1352/2020 - 21/27 -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w:t>
      </w:r>
    </w:p>
    <w:p>
      <w:r>
        <w:t>A/1352/2020 - 22/27 -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17</w:t>
      </w:r>
    </w:p>
    <w:p>
      <w:r>
        <w:t>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w:t>
      </w:r>
    </w:p>
    <w:p>
      <w:r>
        <w:t>A/1352/2020 - 23/27 -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w:t>
      </w:r>
    </w:p>
    <w:p>
      <w:r>
        <w:t>A/1352/2020 - 24/27 -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A/1352/2020 - 25/27 -</w:t>
      </w:r>
    </w:p>
    <w:p>
      <w:r>
        <w:rPr>
          <w:b/>
        </w:rPr>
        <w:t>E. 20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21</w:t>
      </w:r>
    </w:p>
    <w:p>
      <w:r>
        <w:t>En l’espèce, la recourante appuie sa demande sur les certificats médicaux de ses deux médecins traitants, le Dr B______, généraliste, et le Dr C______, rhumatologue. Il ne ressort pas des certificats produits par lesdits médecins que ces derniers reconnaîtraient une incapacité de travail du fait des troubles de la santé de la recourante. En particulier, le questionnaire rempli par le Dr B______, en date du</w:t>
      </w:r>
    </w:p>
    <w:p>
      <w:r>
        <w:rPr>
          <w:b/>
        </w:rPr>
        <w:t>E. 26</w:t>
      </w:r>
    </w:p>
    <w:p>
      <w:r>
        <w:t>septembre 2018, pose le diagnostic de fibromyalgie et reconnaît des limitations fonctionnelles, à savoir des douleurs musculaires et articulaires, mais ne fixe pas de pourcentage pour la capacité de travail exigible. S’agissant des certificats médicaux remis par le Dr C______, ils concluent également à un diagnostic de fibromyalgie ; toutefois, le médecin traitant ne fixe pas non plus de pourcentage quant à la capacité de travail, se contentant de relever dans son courrier du 2 juillet 2019 que « compte tenu des symptômes susmentionnés, une activité professionnelle à plein temps paraît difficile ». 22. S’agissant des expertises rhumatologiques et psychiatriques ordonnées par l’intimé, elles sont complètes, précises et bien motivées, reprenant notamment les indicateurs jurisprudentiels, et ne comportent pas de contradictions. Les deux experts concluent que la capacité de travail de la recourante reste entière. Il en résulte que les conclusions des médecins traitants - sous réserve de la nuance apportée par le Dr C______ quant aux difficultés de la recourante pour exercer une activité à plein temps - rejoignent les conclusions des experts mandatés par l’intimé. 23. Au vu de la concordance des conclusions médicales sur la capacité de travail de la recourante et du dossier médical, la chambre de céans considère, au degré de la</w:t>
      </w:r>
    </w:p>
    <w:p>
      <w:r>
        <w:t>A/1352/2020 - 26/27 - vraisemblance prépondérante que la capacité de travail de la recourante est de 100%. 24. Partant, le recours sera rejeté. 25. Compte tenu de ce qui précède, la recourante sera condamnée au paiement d'un émolument de CHF 200.- (art. 69 al. 1bis LAI).</w:t>
      </w:r>
    </w:p>
    <w:p>
      <w:r>
        <w:t>A/1352/2020 - 27/27 -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