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ATAS/517/2010 vom 17. Mai 2010</w:t>
      </w:r>
    </w:p>
    <w:p>
      <w:r>
        <w:t>GE Cour de justice, 2010-05-17, FR</w:t>
      </w:r>
    </w:p>
    <w:p>
      <w:r>
        <w:rPr>
          <w:b/>
        </w:rPr>
        <w:t xml:space="preserve">Quelle: </w:t>
      </w:r>
      <w:r>
        <w:t>https://mcp.opencaselaw.ch/entscheid/ge_gerichte_ATAS_517_2010</w:t>
      </w:r>
    </w:p>
    <w:p>
      <w:r>
        <w:t>FR: GE_GERICHTE ATAS/517/2010 du 17 mai 2010</w:t>
      </w:r>
    </w:p>
    <w:p>
      <w:r>
        <w:t>IT: GE_GERICHTE ATAS/517/2010 del 17 maggio 2010</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w:t>
      </w:r>
    </w:p>
    <w:p>
      <w:r>
        <w:t>A/322/2010 - 12/19 - moment où les faits juridiquement déterminants se sont produits (ATF 130 V 230 consid. 1.1; 335 consid. 1.2; ATF 129 V 4 consid. 1.2; ATF 127 V 467 consid. 1, 126 V 136 consid. 4b et les références). En l'espèce, la nouvelle demande de prestations a été déposée le 25 juin 2008. Le recourant invoque une péjoration de son état de santé depuis juillet 2006.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pour les faits antérieurs à cette date.</w:t>
      </w:r>
    </w:p>
    <w:p>
      <w:r>
        <w:rPr>
          <w:b/>
        </w:rPr>
        <w:t>E. 3</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15 août 2008, qui a été confirmé par la décision du 3 décembre 2009, contre laquelle l'assuré a interjeté directement recours devant le Tribunal de céans le 22 janvier 2010. c) Interjeté dans les forme et délai prévus par la loi, devant l'autorité compétente, le recours est en conséquence recevable (art. 56 ss LPGA).</w:t>
      </w:r>
    </w:p>
    <w:p>
      <w:r>
        <w:rPr>
          <w:b/>
        </w:rPr>
        <w:t>E. 4</w:t>
      </w:r>
    </w:p>
    <w:p>
      <w:r>
        <w:t>L'objet du litige porte sur le droit du recourant à une rente de l'assurance-invalidité.</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w:t>
      </w:r>
    </w:p>
    <w:p>
      <w:r>
        <w:t>A/322/2010 - 13/19 -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Selon l'art. 29 LAI dans sa teneur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(al. 4). Une lettre circulaire n° 253 de l'OFAS indique que si le cas d'assurance se produit avant le 1er janvier 2008 c'est encore l'ancien droit qui s'applique et l'assuré peut encore déposer une demande de prestations dans les douze mois après la naissance du droit, sans perte de prestations de rente.</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A/322/2010 - 14/19 -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w:t>
      </w:r>
    </w:p>
    <w:p>
      <w:r>
        <w:t>A/322/2010 - 15/19 -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A/322/2010 - 16/19 -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a) En l'espèce, dans son arrêt du 14 avril 2008 (ATAS/432/2008), le Tribunal de céans a qualifié de probantes les expertises des Drs N__________ et O__________. Quant à l'expertise du Dr P__________, il a relevé, nonobstant le diagnostic imprécis posé par ce médecin , qu'elle conservait toute sa valeur probante. La question de l'exigibilité d'une activité lucrative se posait au vu des motifs de l'incapacité de travail annoncés par l'expert. Cette question pouvait cependant rester ouverte dès lors que l'état de santé du recourant s'était aggravé au plus tôt depuis</w:t>
      </w:r>
    </w:p>
    <w:p>
      <w:r>
        <w:t>A/322/2010 - 17/19 - l'hospitalisation de celui-ci à Belle-Idée le 17 juillet 2006, soit à une date postérieure à celle de la décision litigieuse. b) Cette question restée ouverte se pose toutefois dans le cadre du présent litige, dès lors qu'il convient d'examiner si l'aggravation de l'état de santé du recourant depuis juillet 2006 entraîne une incapacité de travail et partant une incapacité de gain qui ouvrirait le droit à une rente d'invalidité. Vu les avis divergeants existants entre, d'une part, la Dresse T__________ du BREM et la Dresse T__________ et, d'autre part, le psychiatre traitant ainsi que l'expert P__________, il se justifie d'ordonner une nouvelle expertise judiciaire, laquelle sera confiée au Dr U_________, FMH en psychiatrie et psychothérapie, à Genève.</w:t>
      </w:r>
    </w:p>
    <w:p>
      <w:r>
        <w:t>A/322/2010 - 18/19 -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