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ATAS/516/2021 vom 27. Mai 2021</w:t>
      </w:r>
    </w:p>
    <w:p>
      <w:r>
        <w:t>GE Cour de justice, 2021-05-27, FR</w:t>
      </w:r>
    </w:p>
    <w:p>
      <w:r>
        <w:rPr>
          <w:b/>
        </w:rPr>
        <w:t xml:space="preserve">Quelle: </w:t>
      </w:r>
      <w:r>
        <w:t>https://mcp.opencaselaw.ch/entscheid/ge_gerichte_ATAS_516_2021</w:t>
      </w:r>
    </w:p>
    <w:p>
      <w:r>
        <w:t>FR: GE_GERICHTE ATAS/516/2021 du 27 mai 2021</w:t>
      </w:r>
    </w:p>
    <w:p>
      <w:r>
        <w:t>IT: GE_GERICHTE ATAS/516/2021 del 27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pendant, au 1er janvier 2021, devant la chambre de céans, il reste soumis à l'ancien droit (cf. art. 83 LPGA).</w:t>
      </w:r>
    </w:p>
    <w:p>
      <w:r>
        <w:rPr>
          <w:b/>
        </w:rPr>
        <w:t>E. 4</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29 avril 2020, le droit éventuel aux prestations doit être examiné en fonction des modifications de la LAI, dans la mesure de leur pertinence (ATF 130 V 445 et les références; voir également ATF 130 V 329).</w:t>
      </w:r>
    </w:p>
    <w:p>
      <w:r>
        <w:rPr>
          <w:b/>
        </w:rPr>
        <w:t>E. 4.3</w:t>
      </w:r>
    </w:p>
    <w:p>
      <w:r>
        <w:t>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6</w:t>
      </w:r>
    </w:p>
    <w:p>
      <w:r>
        <w:t>Le litige porte sur le refus de l’OAI de toute prestation d’invalidité en faveur du recourant.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A/1323/2020 - 6/15 -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w:t>
      </w:r>
    </w:p>
    <w:p>
      <w:r>
        <w:t>A/1323/2020 - 7/15 -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w:t>
      </w:r>
    </w:p>
    <w:p>
      <w:r>
        <w:t>A/1323/2020 - 8/15 -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w:t>
      </w:r>
    </w:p>
    <w:p>
      <w:r>
        <w:t>A/1323/2020 - 9/15 - certains points précis (ATF 141 V 281 consid. 8; ATF 137 V 210 consid. 6 ; arrêts du Tribunal fédéral 9C_808/2019 du 18 août 2020 consid. 5.2. et 9C_109/2018 du 15 juin 2018 consid. 5.1).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w:t>
      </w:r>
    </w:p>
    <w:p>
      <w:r>
        <w:t>A/1323/2020 - 10/15 -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A/1323/2020 - 11/15 -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w:t>
      </w:r>
    </w:p>
    <w:p>
      <w:r>
        <w:t>A/1323/2020 - 12/15 - 24 octobre 2003 consid. 4.3 et les références, in Plädoyer 2004/3 p. 64; arrêt du Tribunal fédéral 9C_512/2013 du 16 janvier 2014 consid. 5.2.1).</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A/1323/2020 - 13/15 -</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l’espèce, l’instruction menée par l’OAI a conduit le SMR à rendre un avis médical reconnaissant l’existence d’une lombosciatalgie, sans déficit neurologique, avec des limitations fonctionnelles, interdisant le port de charges de plus de 5 kg et les efforts physiques. Au vu du questionnaire médical retourné par le Dr B______, ainsi qu’au type de médicaments antalgiques pris par le recourant, le SMR concluait à l’absence d’une atteinte à la santé incapacitante dans le sens de l’AI. Dans ses réponses, le médecin traitant du recourant semble prendre ses distances avec ce dernier, le citant lorsqu’il déclare n’avoir plus d’autre choix que de « s’adresser à l’assurance-invalidité », ainsi que lorsqu’il déclare, en date du 5 février 2019, qu’il va « beaucoup mieux ». La description des atteintes à la santé faite par le médecin traitant ne permet pas de retenir une atteinte incapacitante. Les pièces supplémentaires communiquées par le Dr D______ ne permettent pas de faire une autre appréciation du cas, ce dernier informant la chambre de céans que l’apnée du sommeil, dont souffrait le recourant, est désormais traitée par CPAP et que la réponse au traitement est bonne, et communiquant, en annexe, des pièces déjà connues du Dr B______ et dont on peut présumer qu’il en a tenu compte dans son diagnostic, soit la radiographie effectuée auprès d’IMAGERIVE le 5 juin 2018 ; lesdites pièces ne sont donc pas de nature à modifier l’appréciation quant à la capacité de gain du recourant. Compte tenu des pièces médicales du dossier, il apparaît, au degré de la vraisemblance prépondérante, que le recourant ne souffre pas de troubles de la santé qui l’empêchent d’exercer une activité, adaptée à ses limitations</w:t>
      </w:r>
    </w:p>
    <w:p>
      <w:r>
        <w:t>A/1323/2020 - 14/15 - fonctionnelles, à 100%. Dès lors, la chambre de céans ne peut que confirmer la décision querellée.</w:t>
      </w:r>
    </w:p>
    <w:p>
      <w:r>
        <w:rPr>
          <w:b/>
        </w:rPr>
        <w:t>E. 15</w:t>
      </w:r>
    </w:p>
    <w:p>
      <w:r>
        <w:t>Au vu de ce qui précède, le recours sera rejeté et le recourant sera condamné au paiement d'un émolument de CHF 200.- (art. 69 al. 1bis LAI).</w:t>
      </w:r>
    </w:p>
    <w:p>
      <w:r>
        <w:t>A/1323/2020 - 15/15 -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