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ATAS/515/2024 vom 26. Juni 2024</w:t>
      </w:r>
    </w:p>
    <w:p>
      <w:r>
        <w:t>GE Cour de justice, 2024-06-26, FR</w:t>
      </w:r>
    </w:p>
    <w:p>
      <w:r>
        <w:rPr>
          <w:b/>
        </w:rPr>
        <w:t xml:space="preserve">Quelle: </w:t>
      </w:r>
      <w:r>
        <w:t>https://mcp.opencaselaw.ch/entscheid/ge_gerichte_ATAS_515_2024</w:t>
      </w:r>
    </w:p>
    <w:p>
      <w:r>
        <w:t>FR: GE_GERICHTE ATAS/515/2024 du 26 juin 2024</w:t>
      </w:r>
    </w:p>
    <w:p>
      <w:r>
        <w:t>IT: GE_GERICHTE ATAS/515/2024 del 26 giugno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la forme et le délai prévus par la loi, compte tenu de la suspension des délais pour la période du 15 juillet au 15 août inclusivement (art. 38 al. 4 let. b LPGA et art. 89C let. b LPA), le recours est recevable (art. 56 ss LPGA et 62 ss LPA).</w:t>
      </w:r>
    </w:p>
    <w:p>
      <w:r>
        <w:rPr>
          <w:b/>
        </w:rPr>
        <w:t>E. 2</w:t>
      </w:r>
    </w:p>
    <w:p>
      <w:r>
        <w:t>Le litige porte sur le bien-fondé de la décision de refus de l’intimée de reconnaître sa responsabilité pour les troubles du rachis de la recourante et de prendre en charge ses frais de transports en taxi au-delà de l’année 2017.</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122 V 230 consid. 1 et les références). La responsabilité de l’assureur-accidents s’étend, en principe, à toutes les conséquences dommageables qui se trouvent dans un rapport de causalité naturelle (ATF 119 V 335 consid. 1;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w:t>
      </w:r>
    </w:p>
    <w:p>
      <w:r>
        <w:t>A/3275/2019 - 9/13 -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et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125 V 195 consid. 2; RAMA 2000 n° U 363 p. 46).</w:t>
      </w:r>
    </w:p>
    <w:p>
      <w:r>
        <w:rPr>
          <w:b/>
        </w:rPr>
        <w:t>E. 3.2</w:t>
      </w:r>
    </w:p>
    <w:p>
      <w:r>
        <w:t>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3.3</w:t>
      </w:r>
    </w:p>
    <w:p>
      <w:r>
        <w:t>S'agissant de la mise en œuvre d'une expertise consensuelle, le Tribunal fédéral a jugé qu'il est dans l'intérêt des parties d'éviter une prolongation de la</w:t>
      </w:r>
    </w:p>
    <w:p>
      <w:r>
        <w:t>A/3275/2019 - 10/13 -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(ATF 138 V 271 consid. 1.1). Il existe en principe une obligation de la part de l’assureur de s'efforcer à mettre en œuvre une expertise consensuelle avant de rendre une décision (arrêt du Tribunal fédéral 9C_908/2012 du 22 février 2013 consid. 5.1).</w:t>
      </w:r>
    </w:p>
    <w:p>
      <w:r>
        <w:rPr>
          <w:b/>
        </w:rPr>
        <w:t>E. 3.4</w:t>
      </w:r>
    </w:p>
    <w:p>
      <w:r>
        <w:t>En vertu de l’art. 13 al. 1 LAA, les frais de voyage, de transport et de sauvetage sont remboursés, dans la mesure où ils sont nécessaires. Sont notamment pris en charge les frais résultant de traitements médicaux ou investigations prescrits par le médecin ou l’assureur-accidents. Ainsi, les frais de déplacement effectifs au moyen des transports publics pour se rendre à un contrôle médical ou à une séance de physiothérapie sont remboursés (Jean- Maurice FRESARD / Margit MOSER-SZELESS, L’assurance-accidents obligatoire, Schweizerisches Bundesverwaltungsrecht [SBVR], Sécurité sociale, 3ème édition 2016, n. 208 p. 972). Par ailleurs, la recommandation de la commission ad hoc sinistres LAA pour l’application de la LAA et de l’OLAA (n° 1/94) prévoit que les frais remboursés sont les frais effectifs pour le train, le tram ou le bus et que lorsqu’il n’y a pas de transports publics à disposition ou lorsque les lésions provoquées par l’accident ne permettent pas leur utilisation, une indemnité kilométrique (de 60 centimes) est alors prise en charge.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w:t>
      </w:r>
    </w:p>
    <w:p>
      <w:r>
        <w:rPr>
          <w:b/>
        </w:rPr>
        <w:t>E. 4.1</w:t>
      </w:r>
    </w:p>
    <w:p>
      <w:r>
        <w:t>La recourante fait valoir que l’intimée n’avait pas respecté son arrêt et qu’elle avait imposé le centre L______ sans accord consensuel. Les experts avaient réalisé une expertise consensuelle qui ne respectait pas le principe d’impartialité. La chambre de céans relève à cet égard que le libellé des questions de la mission d’expertise adressée au L______ avait préalablement fait l’objet d’un arrêt de la chambre de céans, entré en force, qui le confirmait. La recourante ne pouvait dès lors plus contester les questions de la mission d’expertise dans le cadre de son interpellation sur ses éventuels motifs de récusation des experts du L______, proposé par l’intimée du fait que le I______ avait refusé de faire l’expertise. Dans la mesure où la recourante n’a pas requis une décision formelle de l’intimée s’agissant de la mission d’expertise confiée au L______, ni recouru contre cette dernière, elle ne peut plus prévaloir sans le cadre de la présente procédure du fait</w:t>
      </w:r>
    </w:p>
    <w:p>
      <w:r>
        <w:t>A/3275/2019 - 11/13 - que cette expertise n’aurait pas été ordonnée de façon consensuelle, ni contester le choix de centre et des Drs M______ et N______ comme experts. Elle n’a de toute façon pas émis de motifs matériels ou formels suffisants qui justifieraient la récusation de l’expert M______, au seul motif qu’il serait médecin d’assurance et du Dr N______, car il travaillerait pour CRR, ce qui n’est pas le cas. Elle ne pouvait en outre choisir librement un centre d’expertise, mais devait faire valoir un motif de récusation formel ou matériel justifié, ce qu’elle n’a pas fait. En conséquence, l’intimée était fondée à maintenir la mission d’expertise au L______ et il ne peut pas être retenu que ce choix ne répondait aux exigences jurisprudentielles en la matière.</w:t>
      </w:r>
    </w:p>
    <w:p>
      <w:r>
        <w:rPr>
          <w:b/>
        </w:rPr>
        <w:t>E. 4.2</w:t>
      </w:r>
    </w:p>
    <w:p>
      <w:r>
        <w:t>La chambre de céans constate que le rapport d’expertise répond aux réquisits permettant de lui reconnaître une pleine valeur probante. La recourante semble le contester dans la mesure où elle a fait valoir qu’elle avait demandé au Dr M______ un complément d’analyse au motif qu’il avait indiqué que la première neurolyse du professeur P______, chef du service de chirurgie plastique et de la main du CHUV, avait échoué et qu’elle n’avait obtenu aucune réponse de celui-ci. À teneur du dossier, la recourante a adressé une demande de complément au Dr M______ le 10 février 2024 et une relance le 24 février 2024, car elle ne partageait pas son opinion selon laquelle la neurolyse du 8 octobre 2019 du Prof. P______ avait échoué. En effet, cette intervention avait en partie été un véritable succès, puisque ses douleurs lombaires avaient disparu. L’expert n’avait ainsi pas fait la différence entre ces dernières et ses douleurs sévères à son orteil gauche. Comme l’a relevé l’intimée, le Dr M______ a bien indiqué dans son rapport que la neurolyse du nerf plantaire du 8 septembre 2020 était un échec en tant qu’elle concernait les douleurs intenses de la recourante au gros orteil. Dans la mesure où il précisait ensuite que, de manière étonnante, les lombosciatalgies dont souffrait la recourante avaient disparu, le rapport de l’expert était complet et ne justifiait pas de complément. La recourante n’a ainsi pas fait valoir de critiques remettant en cause la valeur probante de l’expertise.</w:t>
      </w:r>
    </w:p>
    <w:p>
      <w:r>
        <w:rPr>
          <w:b/>
        </w:rPr>
        <w:t>E. 5.1</w:t>
      </w:r>
    </w:p>
    <w:p>
      <w:r>
        <w:t>Sur la base de celle-ci, il convient de retenir que la recourant était en mesure d’utiliser les transports publics dès le 8 janvier 2018, à condition de pouvoir s’y asseoir. C’est donc à juste titre que l’intimée a retenu dans la décision querellée que la recourante pouvait utiliser les transports publics pour se rendre sur son lieu de travail et refusé la prise en charge des frais de transports demandés.</w:t>
      </w:r>
    </w:p>
    <w:p>
      <w:r>
        <w:t>A/3275/2019 - 12/13 -</w:t>
      </w:r>
    </w:p>
    <w:p>
      <w:r>
        <w:rPr>
          <w:b/>
        </w:rPr>
        <w:t>E. 5.2</w:t>
      </w:r>
    </w:p>
    <w:p>
      <w:r>
        <w:t>Il ressort en outre clairement du volet orthopédique de l’expertise du L______, comme l’a relevé l’intimée, que le Dr M______ s’est rallié aux conclusions du Dr E______ du 23 avril 2019, selon lesquelles il n’y avait pas de lien de causalité entre les lombosciatalgies droites dont souffraient la recourante et l’événement du 30 avril 2017. Selon le Dr M______, l’IRM lombaire du 31 août 2018 ne montrait en effet pas d’élément traumatique aigu et n’objectivait que des discopathies dégénératives, sans conflit disco-radiculaire. Par ailleurs, le fait de marcher avec des cannes n’était pas reconnu comme une action vulnérante suffisante pour pouvoir générer une hernie discale. L’expert précisait encore que l’événement en cause, qui avait consisté en la chute d’une planche sur le gros orteil gauche, n’avait pas impacté la colonne lombaire. Cette conclusion n’est pas sérieusement remise en cause par la recourante et c’est donc également à juste titre que l’intimée a retenu dans sa décision sur opposition du 16 juillet 2019, que les problèmes de rachis de la recourante n’étaient pas à sa charge, faute de lien de causalité avec l’accident subi par la recourante le 30 avril 2017.</w:t>
      </w:r>
    </w:p>
    <w:p>
      <w:r>
        <w:rPr>
          <w:b/>
        </w:rPr>
        <w:t>E. 6</w:t>
      </w:r>
    </w:p>
    <w:p>
      <w:r>
        <w:t>Infondé, son recours sera rejeté. La procédure est gratuite (art. 61 let. fbis a contrario LPGA).</w:t>
      </w:r>
    </w:p>
    <w:p>
      <w:r>
        <w:t>A/3275/2019 - 13/13 -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