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ATAS/515/2023 vom 29. Juni 2023</w:t>
      </w:r>
    </w:p>
    <w:p>
      <w:r>
        <w:t>GE Cour de justice, 2023-06-29, FR</w:t>
      </w:r>
    </w:p>
    <w:p>
      <w:r>
        <w:rPr>
          <w:b/>
        </w:rPr>
        <w:t xml:space="preserve">Quelle: </w:t>
      </w:r>
      <w:r>
        <w:t>https://mcp.opencaselaw.ch/entscheid/ge_gerichte_ATAS_515_2023</w:t>
      </w:r>
    </w:p>
    <w:p>
      <w:r>
        <w:t>FR: GE_GERICHTE ATAS/515/2023 du 29 juin 2023</w:t>
      </w:r>
    </w:p>
    <w:p>
      <w:r>
        <w:t>IT: GE_GERICHTE ATAS/515/2023 del 29 giugno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Le litige porte sur le droit de la recourante aux prestations de l’assurance-invalidité.</w:t>
      </w:r>
    </w:p>
    <w:p>
      <w:r>
        <w:rPr>
          <w:b/>
        </w:rPr>
        <w:t>E. 7.1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w:t>
      </w:r>
    </w:p>
    <w:p>
      <w:r>
        <w:t>A/764/2022 - 9/15 -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7.2</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7.3.1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w:t>
      </w:r>
    </w:p>
    <w:p>
      <w:r>
        <w:t>A/764/2022 - 10/15 -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7.3.2</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7.3.3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7.3.4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t>A/764/2022 - 11/15 -</w:t>
      </w:r>
    </w:p>
    <w:p>
      <w:r>
        <w:rPr>
          <w:b/>
        </w:rPr>
        <w:t>E. 7.3.5</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9</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w:t>
      </w:r>
    </w:p>
    <w:p>
      <w:r>
        <w:t>A/764/2022 - 12/15 - l'expertise ordonnée par l'administration ou de demander un complément à l'expert (ATF 137 V 210 consid. 4.4.1.3 et 4.4.1.4 ; SVR 2010 IV n. 49 p. 151, consid. 3.5 ;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122 V 157 consid. 1d).</w:t>
      </w:r>
    </w:p>
    <w:p>
      <w:r>
        <w:rPr>
          <w:b/>
        </w:rPr>
        <w:t>E. 10</w:t>
      </w:r>
    </w:p>
    <w:p>
      <w:r>
        <w:t>En l’occurrence, l’intimé, se fondant sur les conclusions de l’expertise pluridisciplinaire à laquelle il reconnaît pleine valeur probante, considère que la recourante a recouvré une capacité de travail de 85% dans une activité adaptée, ce qui lui permettrait de réaliser un revenu n’entraînant aucune perte de gain, ce que que la recourante conteste en arguant que ses médecins traitants, eux, lui reconnaissent une incapacité de travail, d’une part, que l’expertise est contradictoire en tant qu’elle retient un certain nombre de limitations fonctionnelles tout en lui reconnaissant une capacité de travail de 85%, d’autre part. On rappellera que la Cour de céans a déjà eu l’occasion de se pencher sur la question de la valeur probante de l’expertise pluridisciplinaire (cf. consid. 5 de l’arrêt du 28 septembre 2022 op. cit.), dans une procédure ne relevant certes pas de l’assurance-invalidité, mais dans laquelle la recourante faisait valoir les mêmes arguments que présentement. La recourante a été examinée le 11 août 2021 par l'experte psychiatre O______ qui, si elle a admis l’existence d’un trouble anxieux et dépressif mixte, d’un trouble dépressif récurrent en rémission et d’un trouble somatoforme douloureux, ne leur a pas reconnu de caractère invalidant au sens de la jurisprudence topique. L'experte a relevé que l’assurée était bien structurée et soignée, sans traits de caractères dysfonctionnels. En 2013-2014, elle avait souffert d’un état dépressif qualifié de sévère et réactionnel à une situation familiale complexe, qui avait mené à un divorce et à la perte de la garde de son fils cadet. Depuis 2016, elle bénéficiait d'une prise en charge et son état s'était suffisamment amélioré pour reprendre le travail en mars 2020, après une période de chômage. En janvier 2020, le Dr C______ avait fait état d'une rechute de l’état dépressif en lien avec une intensification des douleurs. Cependant, en mars 2020, l'assurée avait pu reprendre le travail chez son dernier employeur. Ses plaintes étaient essentiellement d'ordre somatique. Les douleurs la handicapaient dans les tâches</w:t>
      </w:r>
    </w:p>
    <w:p>
      <w:r>
        <w:t>A/764/2022 - 13/15 - ménagères lourdes ; son arrêt de travail était motivé par les douleurs et une fatigue avec troubles du sommeil, lesquels s’étaient amendés avec le port d'un appareil CPAP [Continuous Positive Airway Pressure]. S’il y avait certes une lassitude et un manque d'élan vital, la capacité de travail sur le plan psychique était entière. Sur le plan somatique, les experts du CEMEDEX ont retenu les diagnostics de cervicalgies et lombalgies chroniques sur troubles dégénératifs, de syndrome de l'angulaire de l'omoplate à droite, de périarthrite scapulo-humérale droite sur impingement avec tendinopathie du sus-épineux, de gonalgies sur gonarthrose bilatérale, de céphalées probablement mixtes migraineuses et tension, de syndrome d'apnée du sommeil traité (diagnostiqué en mai 2021), de stéatose hépatique, d'hypercholestérolémie et d'obésité de type I. Les limitations fonctionnelles, nombreuses, interdisaient en particulier le travail dans un pressing et dans le nettoyage. De façon consensuelle, les experts ont retenu une capacité de travail de 100% avec une perte de rendement de 15% dans la dernière activité exercée (celle d’employée chargée de la désinfection des bureaux) ou toute autre activité adaptée. La diminution de rendement était justifiée par la fatigue consécutive au syndrome d'apnées du sommeil et des céphalées. Ainsi que la Cour de céans a déjà eu l’occasion de le constater, cette expertise remplit les principes jurisprudentiels développés par le Tribunal fédéral pour la reconnaissance d'une valeur probante dans le domaine de l'assurance sociale (cf. ATF 134 V 231 consid. 5.1 ; 133 V 450 consid. 11.1.3 ; 125 V 351 consid. 3). En effet, elle a été rendue en pleine connaissance du dossier médical, prend en considération les plaintes de la demanderesse, repose sur un examen clinique approfondi et contient des conclusions motivées et convaincantes. Certes, sur le plan psychiatrique, l'expertise est en contradiction avec l'appréciation de la capacité de travail par le Dr C______. Toutefois, au vu de l'examen clinique du 11 août 2021, les évaluations du médecin traitant ne paraissent pas plausibles. En particulier, le diagnostic de dépression sévère (F32.2) ne correspond pas aux symptômes de la Classification internationale des maladies, des troubles mentaux et troubles du comportement (ci-après : CIM-10 ; p. 78). L'experte psychiatre constate en effet que la recourante est bien orientée dans le temps et l'espace, avec une mémoire cliniquement adéquate et une attention bonne et soutenue. L'humeur est majoritairement sur un versant euthymique, même si elle a pleuré à deux reprises durant l'entretien en parlant de son fils cadet. Il n'y a pas de manifestation neurovégétative suggérant une anxiété, ni d'idéation thanatique ou auto-agressive, scénario suicidaire, vision pessimiste de l'avenir, sentiment de culpabilité, émoussement des affects ni ralentissement idéo-moteur. Cela étant, il peut tout au plus être admis que la recourante a souffert d'un épisode dépressif sévère dans le passé. Toutefois, sous traitement, l'épisode dépressif sévère s'est manifestement amélioré. Au demeurant, dans son rapport du 7 septembre 2021, le Dr C______ ne mentionne que les atteintes somatiques</w:t>
      </w:r>
    </w:p>
    <w:p>
      <w:r>
        <w:t>A/764/2022 - 14/15 - comme cause de l'incapacité de travail. Enfin, il ne fait pas état d'un élément médical qui aurait été ignoré par l'experte psychiatre. Partant, l'avis contraire du psychiatre traitant n'est pas propre à jeter le doute sur les conclusions de l'expertise. Le rapport du 22 septembre 2021 du Dr E______, selon laquelle la capacité de travail est nulle dans l'activité habituelle et de 40% dans une activité adaptée, ne permet pas non plus de douter des conclusions de l'expertise multidisciplinaire, en l’absence d'élément médical nouveau par rapport à celle-ci. Il appert en outre que ce médecin a repris l'évaluation de la capacité de travail par le Dr C______ dans son rapport du 7 septembre 2021, étant précisé que les deux médecins travaillent dans la même clinique. Quant au Dr F______, il n'a pas chiffré la diminution de la capacité de travail. Dans ces conditions, on ne saurait reprocher à l’intimé d’avoir suivi les conclusions de l’expertise quant à la capacité de l’assurée à exercer une activité adaptée. Il convient d’ajouter que, selon la jurisprudence du Tribunal fédéral, un marché équilibré du travail offre une palette suffisamment large d’activités non qualifiées et adaptées aux limitations de l’assurée, sans qu’il soit nécessaire de déterminer précisément lesquelles elle serait capable d’exercer, étant rappelé qu’une formation insuffisante ou des difficultés linguistiques ne relèvent pas de l’assurance-invalidité. Cela étant, l’intimé, au cours de la procédure, a listé un certain nombre d’activités envisageables. Eu égard aux considérations qui précèdent, le recours est rejeté.</w:t>
      </w:r>
    </w:p>
    <w:p>
      <w:r>
        <w:t>A/764/2022 - 15/15 -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