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ATAS/515/2021 vom 27. Mai 2021</w:t>
      </w:r>
    </w:p>
    <w:p>
      <w:r>
        <w:t>GE Cour de justice, 2021-05-27, FR</w:t>
      </w:r>
    </w:p>
    <w:p>
      <w:r>
        <w:rPr>
          <w:b/>
        </w:rPr>
        <w:t xml:space="preserve">Quelle: </w:t>
      </w:r>
      <w:r>
        <w:t>https://mcp.opencaselaw.ch/entscheid/ge_gerichte_ATAS_515_2021</w:t>
      </w:r>
    </w:p>
    <w:p>
      <w:r>
        <w:t>FR: GE_GERICHTE ATAS/515/2021 du 27 mai 2021</w:t>
      </w:r>
    </w:p>
    <w:p>
      <w:r>
        <w:t>IT: GE_GERICHTE ATAS/515/2021 del 27 maggio 2021</w:t>
      </w:r>
    </w:p>
    <w:p>
      <w:pPr>
        <w:pStyle w:val="Heading2"/>
      </w:pPr>
      <w:r>
        <w:t>Erwägungen</w:t>
      </w:r>
    </w:p>
    <w:p>
      <w:r>
        <w:rPr>
          <w:b/>
        </w:rPr>
        <w:t>E. 20</w:t>
      </w:r>
    </w:p>
    <w:p>
      <w:r>
        <w:t>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Le 1er janvier 2021 est entrée en vigueur la modification du 21 juin 2019 de la LPGA. Toutefois, dans la mesure où le recours était pendant, au 1er janvier 2021, devant la chambre de céans, il reste soumis à l'ancien droit (cf. art. 83 LPGA). 4. Les modifications du 18 mars 2011 de la loi fédérale sur l'assurance-invalidité (révision 6a), entrées en vigueur le 1er janvier 2012, entraînent la modification de certaines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l’espèce, au vu des faits pertinents jusqu’à la décision du 3 février 2020, le droit éventuel aux prestations doit être examiné en fonction des modifications de la LAI, dans la mesure de leur pertinence (ATF 130 V 445 et les références; voir également ATF 130 V 329). 5. Le délai de recours est de trente jours (art. 56 LPGA; art. 62 al. 1 de la loi sur la procédure administrative du 12 septembre 1985 [LPA - E 5 10]). Interjeté dans la forme et le délai prévus par la loi, le recours est recevable, étant précisé que le recours a été effectué dans les délais, par le médecin-traitant du recourant, à la demande de ce dernier, et que le contenu du recours permettait d’identifier l’acte contesté, les conclusions, ainsi que les motivations, même si ces dernières étaient minimales.</w:t>
      </w:r>
    </w:p>
    <w:p>
      <w:r>
        <w:t>A/812/2020 - 10/23 - 6. Le litige porte sur le bien-fondé de la décision refusant toute prestation d’invalidité en faveur du recourant.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8.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ATF 130 V 396 consid. 5.3 et 6). b.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w:t>
      </w:r>
    </w:p>
    <w:p>
      <w:r>
        <w:t>A/812/2020 - 11/23 -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ATF 132 V 65 consid. 4.2.2 ; arrêt du Tribunal fédéral 9C_16/2016 du 14 juin 2016 consid. 3.2). c.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 d. 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 4.3 et la référence ; arrêt du Tribunal fédéral 9C_724/2018 du 11 juillet 2019 consid. 7). En l’absence d’un diagnostic psychiatrique, une telle appréciation n’a</w:t>
      </w:r>
    </w:p>
    <w:p>
      <w:r>
        <w:t>A/812/2020 - 12/23 - pas non plus à être effectuée (arrêt du Tribunal fédéral 9C_176/2018 du 16 août 2018 consid. 3.2.2). 9.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A/812/2020 - 13/23 - 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f.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w:t>
      </w:r>
    </w:p>
    <w:p>
      <w:r>
        <w:t>A/812/2020 - 14/23 - sur la base d’un dossier peut se voir reconnaître une pleine valeur probante (arrêt du Tribunal fédéral 8C_681/2011 du 27 juin 2012 consid. 4.1 et les références). g.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h.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i.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w:t>
      </w:r>
    </w:p>
    <w:p>
      <w:r>
        <w:t>A/812/2020 - 15/23 - cause les conclusions de l'expert (arrêt du Tribunal fédéral 9C_369/2008 du 5 mars 2009 consid. 2.2). j.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w:t>
      </w:r>
    </w:p>
    <w:p>
      <w:r>
        <w:rPr>
          <w:b/>
        </w:rPr>
        <w:t>E. 24</w:t>
      </w:r>
    </w:p>
    <w:p>
      <w:r>
        <w:t>octobre 2003 consid. 4.3 et les références, in Plädoyer 2004/3 p. 64; arrêt du Tribunal fédéral 9C_512/2013 du 16 janvier 2014 consid. 5.2.1).</w:t>
      </w:r>
    </w:p>
    <w:p>
      <w:r>
        <w:t>A/812/2020 - 16/23 - 10.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11. a. Le point de départ de l'évaluation prévue pour les troubles somatoformes douloureux (ATF 141 V 281), les troubles dépressifs (ATF 143 V 409), les autres troubles psychiques (ATF 143 V 418) et les troubles mentaux du comportement liés à l’utilisation de substances psychoactives (ATF 145 V 215) est l'ensemble des éléments médicaux et constatations y relatives. Les experts doivent motiver le diagnostic psychique de telle manière que l'organe d'application du droit puisse comprendre non seulement si les critères de classification sont remplis (ATF 141 V 281 consid. 2.1.1), mais également si la pathologie diagnostiquée présente un degré de gravité susceptible d'occasionner des limitations dans les fonctions de la vie courante (arrêt du Tribunal fédéral 9C_551/2019 du 24 avril 2020 consid. 4.1 et la référence). b. Dans un arrêt de principe du 2 décembre 2019 (ATF 145 V 361), le Tribunal fédéral, à la lumière de l'ATF 141 V 281, a notamment posé une délimitation, entre l'examen (libre), par les autorités chargées de l'application du droit, de l'admission d'une incapacité de travail par l'expert psychiatre, d'une part, et une appréciation juridique parallèle inadmissible, d'autre part. Selon le Tribunal fédéral,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 experts doivent établir un lien avec la partie précédente de l'expertise médico-psychiatrique (avec extraits du dossier, anamnèse, constatations, diagnostics, etc.), c'est-à-dire qu'ils doivent se référer en détails aux résultats médico-psychiatriques des examens</w:t>
      </w:r>
    </w:p>
    <w:p>
      <w:r>
        <w:t>A/812/2020 - 17/23 - et explorations cliniques menés dans les règles de l’art qui relèvent de leur compétence. Le médecin doit donc exposer de manière détaillée les raisons médico- psychiatriques pour lesquelles les éléments constatés sont susceptibles de restreindre la capacité fonctionnelle et les ressources psychiques en termes qualitatifs, quantitatifs et temporels (ATF 143 V 418 consid. 6). À titre d’exemple, dans le cadre de troubles dépressifs récurrents de degrés légers à modérés qui sont souvent au premier plan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l'évaluation des répercussions de l’atteinte psychique sera également valable du point de vue des organes chargés de l’application du droit, que ce soit l’administration ou le juge. À défaut, il se justifie, juridiquement, de s'en écarter (ATF 145 V 361 consid. 4.3 et la référence). c. 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 distancient de l'évaluation médicale de la capacité de travail établie par l’expertise sans que celle- 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 fonction de la grille d'évaluation normative</w:t>
      </w:r>
    </w:p>
    <w:p>
      <w:r>
        <w:t>A/812/2020 - 18/23 - et structurée ne doit pas être entreprise (cf. ATF 145 V 361 consid. 4.3 ; arrêts du Tribunal fédéral 8C_213/2020 du 19 mai 2020 consid. 4.3 et les références).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14.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w:t>
      </w:r>
    </w:p>
    <w:p>
      <w:r>
        <w:t>A/812/2020 - 19/23 -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w:t>
      </w:r>
    </w:p>
    <w:p>
      <w:r>
        <w:rPr>
          <w:b/>
        </w:rPr>
        <w:t>E. 26</w:t>
      </w:r>
    </w:p>
    <w:p>
      <w:r>
        <w:t>janvier 2012 consid. 3). 15. En l’espèce, l’appréciation de l’OAI repose sur les avis du SMR, ainsi que sur le rapport d’expertise du 4 décembre 2019, établi à la suite de l’examen du recourant, en date du 26 novembre 2019. L’expertise a été confiée à un médecin indépendant, spécialiste reconnu. Ce dernier s’est livré à des observations approfondies et a mené des investigations complètes, fondées notamment sur le dossier médical du recourant qui est décrit en pages 1, 3 et 7, et qui tient compte des plaintes de l’assuré et des avis exprimés par les médecins traitants du recourant. Le mandataire du recourant allègue que son état de santé aurait changé entre le jour de l’examen, soit le 29 novembre 2019, et le 2 mars 2020, date du rapport du médecin traitant, le Dr C______, faisant état de l’apparition de lombalgies à gauche. Appelé à se prononcer sur le rapport médical du 2 mars 2020, le SMR, dans son avis médical du 9 novembre 2020, considère qu’en comparant le rapport du Dr C______ avec le rapport d’expertise du 4 décembre 2019, il n’y a pas de fait médical objectivement nouveau. Les douleurs décrites par le Dr C______ étaient déjà prises en compte par l’expert ; le SMR considère même que le rapport du médecin traitant permet de conclure à une légère amélioration dès lors qu’auparavant le recourant devait prendre des antalgiques de niveau 2, alors que désormais, il est traité avec de l’Irfen, un antalgique de niveau 1, donc moins fort. S’agissant des critiques concernant l’absence d’examen des nodules de Scheuermann, elles sont balayées par le SMR, au motif que ce type de lésion est fréquent à l’adolescence, ne produit pas de douleurs et est - somme toute - relativement banal. Il sied encore d’ajouter que, contrairement à ce qu’allègue le mandataire du recourant, l’expert n’avait pas l’obligation de s’entretenir avec les médecins traitants du seul fait que la diminution de rendement, qu’il estimait à 20%, s’éloignait de l’appréciation des médecins du recourant. La chambre de céans considère, qu’il n’est pas démontré, au niveau de la vraisemblance prépondérante, que l’état de santé du patient se serait à tel point aggravé, en l’espace des trois mois séparant l’examen de l’expert et le rapport du Dr C______, que cela justifierait de s’écarter des résultats de l’expertise. Les</w:t>
      </w:r>
    </w:p>
    <w:p>
      <w:r>
        <w:t>A/812/2020 - 20/23 - conclusions du SMR quant aux lombalgies au côté gauche et au défaut d’impact des nodules de Scheuermann sur la capacité de travail du recourant sont convaincantes. Pour cette même raison, la chambre de céans considère inutile d’ordonner un complément d’expertise ; cette demande sera donc écartée, de même que la demande d’audition du Dr C______ dont l’avis médical est largement connu, ce qui rend une audition inutile. Dans ses observations du 22 décembre 2020, le recourant produit, en annexe, un ultime rapport médical du 29 novembre 2020 de la Dresse B______, qui ne fait que reprendre les pathologies déjà connues et en conclut que la capacité de travail est de 50% en raison des douleurs handicapantes, sans objectiver le taux d’incapacité allégué, la notion de douleurs se fondant essentiellement sur les déclarations subjectives du recourant. Les allégations du mandataire du recourant relatives au fait que l’expertise ne décrit pas précisément les limitations fonctionnelles et leur influence sur la capacité de rendement, notamment la fréquence à laquelle le recourant devrait effectuer des pauses, changer de position et réaliser des gestes antalgiques sont erronées ; les limitations fonctionnelles sont notamment traitées sous ch. 7.4 de l’expertise ; le fait que la fréquence des pauses ne soit pas indiquée précisément n’est pas de nature à remettre en question la pertinence de l’expertise. Il sera encore rappelé que le juge peut et doit tenir compte du fait que, selon l'expérience, le médecin traitant est généralement enclin, en cas de doute, à prendre parti pour son patient en raison de la relation de confiance qui l'unit à ce dernier. En ce sens, les différences d’appréciation entre les médecins traitants et l’expert, quant à la portée des troubles de la santé sur la capacité de travail du recourant dans une activité adaptée, ne sont pas de nature à remettre en cause le travail effectué par l’expert qui repose sur des éléments objectifs et des résultats convaincants dépourvus du moindre indice concret qui inciterait à douter de leur bien-fondé. 16. Le recourant allègue encore qu’il aurait droit à des mesures de réadaptation dès lors que le taux d’invalidité est de 20%.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 Selon l’art. 8 al. 1er LAI, les assurés invalides ou menacés d’une invalidité (art. 8 LPGA) ont droit à des mesures de réadaptation pour autant que ces mesures soient</w:t>
      </w:r>
    </w:p>
    <w:p>
      <w:r>
        <w:t>A/812/2020 - 21/23 -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w:t>
      </w:r>
    </w:p>
    <w:p>
      <w:r>
        <w:t>A/812/2020 - 22/23 -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En l’occurrence et comme relevé par l’intimé, le recourant n’a aucun projet professionnel et est dépourvu de formation. Les mesures de réadaptation peuvent être envisagées pour autant que ces mesures soient nécessaires et de nature à rétablir, maintenir ou améliorer la capacité de gain du recourant ou sa capacité d’accomplir ses travaux habituels. Au vu du large éventail d’activités existantes, sans qu’il soit nécessaire de disposer d’une formation préalable et qui sont compatibles avec les limitations fonctionnelles observées et tenant compte du fait que la capacité de gain a été fixée de manière théorique, la chambre de céans considère que des mesures de reclassement ne sont pas nécessaires dans le cas du recourant. 17. Au vu de ce qui précède, le recours sera rejeté et le recourant sera condamné au paiement d'un émolument de CHF 200.- (art. 69 al. 1bis LAI).</w:t>
      </w:r>
    </w:p>
    <w:p>
      <w:r>
        <w:t>A/812/2020 - 23/23 -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