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ATAS/515/2019 vom 11. Juni 2019</w:t>
      </w:r>
    </w:p>
    <w:p>
      <w:r>
        <w:t>GE Cour de justice, 2019-06-11, FR</w:t>
      </w:r>
    </w:p>
    <w:p>
      <w:r>
        <w:rPr>
          <w:b/>
        </w:rPr>
        <w:t xml:space="preserve">Quelle: </w:t>
      </w:r>
      <w:r>
        <w:t>https://mcp.opencaselaw.ch/entscheid/ge_gerichte_ATAS_515_2019</w:t>
      </w:r>
    </w:p>
    <w:p>
      <w:r>
        <w:t>FR: GE_GERICHTE ATAS/515/2019 du 11 juin 2019</w:t>
      </w:r>
    </w:p>
    <w:p>
      <w:r>
        <w:t>IT: GE_GERICHTE ATAS/515/2019 del 11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A/2020/2018 - 10/22 -</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de la recourante à une rente d’invalidité.</w:t>
      </w:r>
    </w:p>
    <w:p>
      <w:r>
        <w:rPr>
          <w:b/>
        </w:rPr>
        <w:t>E. 5</w:t>
      </w:r>
    </w:p>
    <w:p>
      <w:r>
        <w:t>L’assuré a droit à une rente lorsqu’il a présenté une incapacité de travail (art. 6 LPGA) d’au moins 40 % en moyenne durant une année sans interruption notable et qu’au terme de cette année, il est invalide (art. 8 LPGA) à 40 % au moins (cf. art. 28 al. 1 let. b et c LAI).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7</w:t>
      </w:r>
    </w:p>
    <w:p>
      <w:r>
        <w:t>Selon la jurisprudence ayant cours jusqu’à récemment, les syndromes sans pathogenèse ni étiologie claires et sans constat de déficit organique n'entraînaient pas, en règle générale, une limitation de longue durée de la capacité de travail pouvant conduire à une invalidité (ATF 130 V 352 consid. 2.2.3). Toutefois, dans un arrêt rendu le 3 juin 2015 (ATF 141 V 281), le Tribunal fédéral a abandonné la présomption qui prévalait jusqu’à ce jour, selon laquelle les syndromes du type troubles somatoformes douloureux et affections psychosomatiques assimilées pouvaient en règle générale être surmontés par un effort de volonté raisonnablement exigible (consid. 3.4 et 3.5 de l'arrêt cité). Il a introduit un nouveau schéma d'évaluation au moyen d'indicateurs en lieu et place de l’ancien catalogue de critères (consid. 4 de l'arrêt cité). Dans un arrêt subséquent, il a considéré que dans la mesure où les difficultés d'objectivation et de preuve étaient</w:t>
      </w:r>
    </w:p>
    <w:p>
      <w:r>
        <w:t>A/2020/2018 - 11/22 - communes à toutes les affections psychiques, le catalogue d’indicateurs découlant de l'ATF 141 V 281 devait être étendu également à ces affections, y compris aux dépressions légères à moyennes (ATF 143 V 409 consid. 4.2.1). Ces modifications jurisprudentielles ne changent cependant rien à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À défaut,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arrêt du Tribunal fédéral 8C_562/2014 du 29 septembre 2015 consid. 8.2).</w:t>
      </w:r>
    </w:p>
    <w:p>
      <w:r>
        <w:rPr>
          <w:b/>
        </w:rPr>
        <w:t>E. 8</w:t>
      </w:r>
    </w:p>
    <w:p>
      <w:r>
        <w:t>Une fois le diagnostic posé, la capacité de travail exigible doit être examinée au moyen d’un catalogue d’indicateurs, appliqué en fonction des circonstances du cas particulier et répondant aux exigences spécifiques de celui-ci (ATF 141 V 281 consid. 4.1.1).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 Axe « atteinte à la santé » 1. Expression des éléments pertinents pour le diagnostic et des symptômes</w:t>
      </w:r>
    </w:p>
    <w:p>
      <w:r>
        <w:t>A/2020/2018 - 12/22 -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A/2020/2018 - 13/22 -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w:t>
      </w:r>
    </w:p>
    <w:p>
      <w:r>
        <w:t>A/2020/2018 - 14/22 -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RS 101 ; SVR 2001 IV n° 10 p. 28 consid. 4b), la jurisprudence rendue sous l’empire de l’art. 4 aCst. étant toujours valable (ATF 124 V 90 consid. 4b ;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w:t>
      </w:r>
    </w:p>
    <w:p>
      <w:r>
        <w:t>A/2020/2018 - 15/22 -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w:t>
      </w:r>
    </w:p>
    <w:p>
      <w:r>
        <w:rPr>
          <w:b/>
        </w:rPr>
        <w:t>E. 10</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w:t>
      </w:r>
    </w:p>
    <w:p>
      <w:r>
        <w:rPr>
          <w:b/>
        </w:rPr>
        <w:t>E. 11</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w:t>
      </w:r>
    </w:p>
    <w:p>
      <w:r>
        <w:t>A/2020/2018 - 16/22 - références ;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w:t>
      </w:r>
    </w:p>
    <w:p>
      <w:r>
        <w:rPr>
          <w:b/>
        </w:rPr>
        <w:t>E. 12</w:t>
      </w:r>
    </w:p>
    <w:p>
      <w:r>
        <w:t>avril 2006 et le 4 mai 2018, date de la décision litigieuse. Il n’y a donc pas lieu de donner suite à la requête de la recourante tendant à l’audition de son psychiatre traitant et à la mise en œuvre d’une expertise judiciaire, ces mesures d’instruction n’étant pas susceptibles de modifier la présente décision (appréciation anticipée des preuves : ATF 140 I 285 consid. 6.3.1).</w:t>
      </w:r>
    </w:p>
    <w:p>
      <w:r>
        <w:rPr>
          <w:b/>
        </w:rPr>
        <w:t>E. 13</w:t>
      </w:r>
    </w:p>
    <w:p>
      <w:r>
        <w:t>Mal fondé, le recours doit être rejeté.</w:t>
      </w:r>
    </w:p>
    <w:p>
      <w:r>
        <w:t>A/2020/2018 - 21/22 - La recourante, qui succombe, supporte l’émolument de procédure de CHF 200.- (art. 69 al. 1bis LAI). Il n’y a pas d’indemnité de procédure à allouer, ni à la recourante, qui succombe (art. 61 let. g LPGA), ni à l’intimé en tant qu’assureur social. * * * * * *</w:t>
      </w:r>
    </w:p>
    <w:p>
      <w:r>
        <w:t>A/2020/2018 - 22/22 -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