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ATAS/515/2015 vom 30. Juni 2015</w:t>
      </w:r>
    </w:p>
    <w:p>
      <w:r>
        <w:t>GE Cour de justice, 2015-06-30, FR</w:t>
      </w:r>
    </w:p>
    <w:p>
      <w:r>
        <w:rPr>
          <w:b/>
        </w:rPr>
        <w:t xml:space="preserve">Quelle: </w:t>
      </w:r>
      <w:r>
        <w:t>https://mcp.opencaselaw.ch/entscheid/ge_gerichte_ATAS_515_2015</w:t>
      </w:r>
    </w:p>
    <w:p>
      <w:r>
        <w:t>FR: GE_GERICHTE ATAS/515/2015 du 30 juin 2015</w:t>
      </w:r>
    </w:p>
    <w:p>
      <w:r>
        <w:t>IT: GE_GERICHTE ATAS/515/2015 del 30 giugno 2015</w:t>
      </w:r>
    </w:p>
    <w:p>
      <w:pPr>
        <w:pStyle w:val="Heading2"/>
      </w:pPr>
      <w:r>
        <w:t>Erwägungen</w:t>
      </w:r>
    </w:p>
    <w:p>
      <w:r>
        <w:rPr>
          <w:b/>
        </w:rPr>
        <w:t>E. 1</w:t>
      </w:r>
    </w:p>
    <w:p>
      <w:r>
        <w:t>Conformément à l'art. 134 al. 1 let. a ch. 2 de la loi sur l'organisation judiciaire, du 26 septembre 2010 (LOJ; RS/GE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l’assurance-invalidité, à moins que la loi n’y déroge expressément.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w:t>
      </w:r>
    </w:p>
    <w:p>
      <w:r>
        <w:t>A/3139/2014 - 8/14 - moment où les faits juridiquement déterminants se sont produits (ATF 129 V 1 consid. 1; ATF 127 V 466 consid. 1 et les références). En ce qui concerne en revanche la procédure, et à défaut de règles transitoires contraires, le nouveau droit s'applique sans réserve dès le jour de son entrée en vigueur (ATF 117 V 71 consid. 6b; ATF 112 V 356 consid. 4a; RAMA 1998 KV 37 p. 316 consid. 3b). En l’espèce, la décision litigieuse du 17 septembre 2014 refuse l’octroi de prestations suite à la demande de la recourante du 20 novembre 2012, de sorte que sont applicables les modifications de la LAI consécutives aux 4ème, 5ème et 6ème révisions de cette loi, dans la mesure de leur pertinence (ATF 130 V 445 et les références; voir également ATF 130 V 329).</w:t>
      </w:r>
    </w:p>
    <w:p>
      <w:r>
        <w:rPr>
          <w:b/>
        </w:rPr>
        <w:t>E. 4</w:t>
      </w:r>
    </w:p>
    <w:p>
      <w:r>
        <w:t>Le délai de recours est de trente jours (art. 60 al. 1 LPGA). Interjeté dans la forme et le délai prévus par la loi, le recours est recevable, en vertu des art. 56ss LPGA.</w:t>
      </w:r>
    </w:p>
    <w:p>
      <w:r>
        <w:rPr>
          <w:b/>
        </w:rPr>
        <w:t>E. 5</w:t>
      </w:r>
    </w:p>
    <w:p>
      <w:r>
        <w:t>L’objet du litige consiste à déterminer si c'est à juste titre que l'intimé a nié à la recourante le droit à une rente d'invalidité.</w:t>
      </w:r>
    </w:p>
    <w:p>
      <w:r>
        <w:rPr>
          <w:b/>
        </w:rPr>
        <w:t>E. 6</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 b.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c. Selon l’art. 8 al. 3 LPGA, les assurés majeurs qui n'exerçaient pas d'activité lucrative avant d'être atteints dans leur santé physique, mentale ou psychique et dont il ne peut être exigé qu'ils en exercent une sont réputés invalides si l'atteinte les empêche d'accomplir leurs travaux habituels. L'art. 7 al. 2 est applicable par analogie. L’invalidité de l'assuré qui n'exerce pas d'activité lucrative et dont on ne peut raisonnablement exiger qu'il en entreprenne une est évaluée, en dérogation à</w:t>
      </w:r>
    </w:p>
    <w:p>
      <w:r>
        <w:t>A/3139/2014 - 9/14 - l'art. 16 LPGA, en fonction de son incapacité à accomplir ses travaux habituels (art. 28a al. 2 LAI). d.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A/3139/2014 - 10/14 -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8</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 arrêt du Tribunal fédéral des assurances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 b. Lorsqu’il s'agit d'évaluer la capacité d'un assuré à accomplir des tâches ménagères, un empêchement ne peut être pris en compte que si ledit assuré ne</w:t>
      </w:r>
    </w:p>
    <w:p>
      <w:r>
        <w:t>A/3139/2014 - 11/14 - parvient plus à exécuter la tâche en question et si cette tâche doit être confiée à des tiers rétribués ou à des proches qui enregistrent de ce fait une perte de gain ou pour lesquels cela représente une charge disproportionnée (arrêt du Tribunal fédéral des assurances I 518/2004 du 25 novembre 2005 consid. 4). Il convient donc d’examiner dans chaque cas si la personne est encore en mesure d’exécuter la tâche en question et, dans la négative, si une tierce personne rétribuée ou un de ses proches s’en occupe. Pour satisfaire à l'obligation de réduire le dommage (voir ATF 129 V 460 consid. 4.2 et ATF 123 V 230 consid. 3c ainsi que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 arrêt du Tribunal fédéral des assurances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w:t>
      </w:r>
    </w:p>
    <w:p>
      <w:r>
        <w:t>A/3139/2014 - 12/14 - ATF 125 V 193 consid. 2 et les références). Aussi n’existe-t-il pas, en droit des assurances sociales, un principe selon lequel l’administration ou le juge devrait statuer, dans le doute, en faveur de l’assuré (ATF 126 V 319 consid. 5a).</w:t>
      </w:r>
    </w:p>
    <w:p>
      <w:r>
        <w:rPr>
          <w:b/>
        </w:rPr>
        <w:t>E. 10</w:t>
      </w:r>
    </w:p>
    <w:p>
      <w:r>
        <w:t>a. En l’espèce, il est rappelé que la recourante a choisi de cesser de travailler à la naissance de ses enfants et qu’elle n’a jamais exercé d’activité lucrative depuis qu’elle s’est installée en Suisse, bien que son enfant le plus jeune fût alors âgé de</w:t>
      </w:r>
    </w:p>
    <w:p>
      <w:r>
        <w:rPr>
          <w:b/>
        </w:rPr>
        <w:t>E. 11</w:t>
      </w:r>
    </w:p>
    <w:p>
      <w:r>
        <w:t>ans. En dépit des conditions de vie précaires de sa famille, elle n’a jamais évoqué son intention de reprendre un emploi. Par conséquent, le statut de ménagère à plein temps doit être confirmé, ce que la recourante ne conteste au demeurant pas. b. Les rapports produits dans le cadre de la présente procédure attestent tous que la recourante présente deux atteintes à la santé : elle souffre d’une part d’une sarcoïdose pulmonaire diagnostiquée en juin 2010, et d’autre part de lombalgies chroniques. S’agissant de la première atteinte, le pneumologue a expliqué que la corticothérapie commencée en juin 2010 a permis une amélioration radiologique nette, mais a dû être interrompue en décembre 2011 en raison des effets secondaires. Suite à une rechute durant l’été 2012, avec la réapparition d’une dyspnée, de la toux, des difficultés respiratoires et des sibilances (courriers des 30 août et 21 décembre 2012 du Dr E______), un syndrome biologique inflammatoire et une atteinte pulmonaire ont nécessité la reprise de la corticothérapie. L’évolution a été favorable et les fonctions pulmonaires considérées dans les limites de la norme en septembre 2013. Selon le Dr E______, la recourante restait toutefois limitée par une dyspnée d’effort sur un probable asthme (rapport du 18 octobre 2013), ce qui a également été retenu par le médecin traitant (rapports des 9 février et 12 septembre 2013 du Dr F______) et a dûment été pris en considération par le SMR (avis du 12 février 2014 de la Dresse G______). Concernant les douleurs lombaires, le Dr E______ a estimé qu’elles s’inscrivaient dans le contexte d’une ostéoporose cortisonique (courrier du 30 août 2012) et qu’elles engendraient également des restrictions (rapport du 18 octobre 2013). Le médecin traitant spécialiste en médecine interne a posé le diagnostic de lombalgies chroniques sans répercussion sur la capacité de travail, et précisé que la recourante ne pouvait, compte tenu de son état de santé global, ni exercer des activités principalement en marchant, ni en position uniquement debout, à genoux ou accroupie, ni travailler avec les bras au-dessus de la tête, ni soulever ou porter des charges, ni monter des escaliers ou sur une échelle (rapports des 9 février et</w:t>
      </w:r>
    </w:p>
    <w:p>
      <w:r>
        <w:rPr>
          <w:b/>
        </w:rPr>
        <w:t>E. 12</w:t>
      </w:r>
    </w:p>
    <w:p>
      <w:r>
        <w:t>Compte tenu de ce qui précède, le recours est rejeté. La procédure n’étant plus gratuite depuis le 1er juillet 2006 (art. 69 al. 1bis LAI), il y a lieu de condamner la recourante au paiement d’un émolument de CHF 200.-. * * * * * *</w:t>
      </w:r>
    </w:p>
    <w:p>
      <w:r>
        <w:t>A/3139/2014 - 14/14 -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